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70CC4" w:rsidRDefault="00C70CC4">
      <w:pPr>
        <w:rPr>
          <w:rtl/>
        </w:rPr>
      </w:pPr>
    </w:p>
    <w:p w:rsidR="00C70CC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23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5234" inset="0,0,0,0">
              <w:txbxContent>
                <w:p w:rsidR="005A28DA" w:rsidRDefault="005A28DA">
                  <w:r>
                    <w:rPr>
                      <w:rtl/>
                    </w:rPr>
                    <w:t>208                                         ספר החוקים 1156                     כ' באב התשמ"ה 07.08.1985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35" o:spid="_x0000_s1026" type="#_x0000_t202" style="position:absolute;left:0;text-align:left;margin-left:81.95pt;margin-top:664.25pt;width:406.7pt;height:66.15pt;z-index:3;mso-wrap-style:none;mso-position-horizontal-relative:page;mso-position-vertical-relative:page" stroked="f">
            <v:textbox style="mso-next-textbox:#_x0000_s35235" inset="0,0,0,0">
              <w:txbxContent>
                <w:p w:rsidR="005A28DA" w:rsidRDefault="005A28DA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י''א בסיון התשמ''ה (29 ביולי 1985); הצעת החוק ודברי הסבר פורסמו בה''ח 1613, התשמ"ג,</w:t>
                  </w:r>
                </w:p>
                <w:p w:rsidR="005A28DA" w:rsidRDefault="005A28DA">
                  <w:pPr>
                    <w:pStyle w:val="OCRStyle1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118.</w:t>
                  </w:r>
                </w:p>
                <w:p w:rsidR="005A28DA" w:rsidRPr="00C70CC4" w:rsidRDefault="005A28DA">
                  <w:pPr>
                    <w:pStyle w:val="OCRStyle1"/>
                    <w:ind w:left="25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התשכ"ט, עמ' 0ל; התשמ''ד, עמ' 83 ועמ' 154; התשמ"ה, עמ' 140.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36" o:spid="_x0000_s1027" type="#_x0000_t202" style="position:absolute;left:0;text-align:left;margin-left:87.7pt;margin-top:397.75pt;width:470.25pt;height:266.5pt;z-index:2;mso-wrap-style:none;mso-position-horizontal-relative:page;mso-position-vertical-relative:page" stroked="f">
            <v:textbox style="mso-next-textbox:#_x0000_s35236" inset="0,0,0,0">
              <w:txbxContent>
                <w:tbl>
                  <w:tblPr>
                    <w:tblW w:w="50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7"/>
                    <w:gridCol w:w="1283"/>
                  </w:tblGrid>
                  <w:tr w:rsidR="005A28DA" w:rsidRPr="00C70CC4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5A28DA" w:rsidRDefault="005A28D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10 לחוק בית הדין לעבודה, התשכ"ט-1969  1(להלן - החוק העיקרי),</w:t>
                        </w:r>
                      </w:p>
                      <w:p w:rsidR="005A28DA" w:rsidRPr="00C70CC4" w:rsidRDefault="005A28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ברישה, המלים "שנציגי הציבור בבית הדין הארצי יהיו מי" - יימחקו.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5A28DA" w:rsidRPr="00C70CC4" w:rsidRDefault="005A28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5A28DA" w:rsidRPr="00C70CC4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5A28DA" w:rsidRDefault="005A28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18 לחוק העיקרי -</w:t>
                        </w:r>
                      </w:p>
                      <w:p w:rsidR="005A28DA" w:rsidRDefault="005A28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"אם הקובע את מותב בית הדין" יבוא "אם שופט</w:t>
                        </w:r>
                      </w:p>
                      <w:p w:rsidR="005A28DA" w:rsidRDefault="005A28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דין אזורי" ובסופו יבוא "הוראה זו לא תחול בתובענה לפי סעיף</w:t>
                        </w:r>
                      </w:p>
                      <w:p w:rsidR="005A28DA" w:rsidRDefault="005A28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24(א)(2)";</w:t>
                        </w:r>
                      </w:p>
                      <w:p w:rsidR="005A28DA" w:rsidRDefault="005A28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"לפני התחלת הדיון" יבוא "לפני שנקבע מותב</w:t>
                        </w:r>
                      </w:p>
                      <w:p w:rsidR="005A28DA" w:rsidRDefault="005A28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הדין";</w:t>
                        </w:r>
                      </w:p>
                      <w:p w:rsidR="005A28DA" w:rsidRDefault="005A28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(ג) יבוא:</w:t>
                        </w:r>
                      </w:p>
                      <w:p w:rsidR="005A28DA" w:rsidRDefault="005A28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"(ג1) על אף האמור בסעיף קטן (א), רשאים שר המשפטים ושר העבודה</w:t>
                        </w:r>
                      </w:p>
                      <w:p w:rsidR="005A28DA" w:rsidRDefault="005A28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 לקבוע בצו, לאחר התייעצות עם נשיא בית הדין הארצי ובאישור</w:t>
                        </w:r>
                      </w:p>
                      <w:p w:rsidR="005A28DA" w:rsidRDefault="005A28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העבודה והרווחה של הכנסת, סוגי הליכים שהמוסד לביטוח לאומי</w:t>
                        </w:r>
                      </w:p>
                      <w:p w:rsidR="005A28DA" w:rsidRPr="00C70CC4" w:rsidRDefault="005A28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 בהם, שבהם יהיה השופט דן יחיד."</w:t>
                        </w:r>
                      </w:p>
                    </w:tc>
                    <w:tc>
                      <w:tcPr>
                        <w:tcW w:w="750" w:type="pct"/>
                      </w:tcPr>
                      <w:p w:rsidR="005A28DA" w:rsidRPr="00C70CC4" w:rsidRDefault="005A28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5A28DA" w:rsidRPr="00C70CC4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5A28DA" w:rsidRDefault="005A28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20 לחוק העיקרי, אחרי סעיף קטן (א) יבוא:</w:t>
                        </w:r>
                      </w:p>
                      <w:p w:rsidR="005A28DA" w:rsidRPr="00C70CC4" w:rsidRDefault="005A28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על אף האמור בסעיף קטן (א)(3), רשאים שר המשפטים ושר העבודה</w:t>
                        </w:r>
                      </w:p>
                    </w:tc>
                    <w:tc>
                      <w:tcPr>
                        <w:tcW w:w="750" w:type="pct"/>
                      </w:tcPr>
                      <w:p w:rsidR="005A28DA" w:rsidRPr="00C70CC4" w:rsidRDefault="005A28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</w:t>
                        </w:r>
                      </w:p>
                    </w:tc>
                  </w:tr>
                </w:tbl>
                <w:p w:rsidR="005A28DA" w:rsidRDefault="005A28D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237" o:spid="_x0000_s1028" type="#_x0000_t202" style="position:absolute;left:0;text-align:left;margin-left:141.35pt;margin-top:375.55pt;width:307.7pt;height:19.8pt;z-index:1;mso-wrap-style:none;mso-position-horizontal-relative:page;mso-position-vertical-relative:page" stroked="f">
            <v:textbox style="mso-next-textbox:#_x0000_s35237" inset="0,0,0,0">
              <w:txbxContent>
                <w:p w:rsidR="005A28DA" w:rsidRPr="00C70CC4" w:rsidRDefault="005A28DA">
                  <w:pPr>
                    <w:pStyle w:val="OCRStyle1"/>
                    <w:ind w:left="400"/>
                    <w:rPr>
                      <w:sz w:val="24"/>
                      <w:szCs w:val="24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בית הדין לעבודה (תיקון מס' 13),  התשמ''ה-1985 ?</w:t>
                  </w:r>
                </w:p>
              </w:txbxContent>
            </v:textbox>
            <w10:wrap anchorx="page" anchory="page"/>
          </v:shape>
        </w:pict>
      </w:r>
    </w:p>
    <w:p w:rsidR="005A28DA" w:rsidRDefault="005A28DA">
      <w:pPr>
        <w:rPr>
          <w:rtl/>
        </w:rPr>
      </w:pPr>
      <w:r>
        <w:rPr>
          <w:rtl/>
        </w:rPr>
        <w:br w:type="page"/>
      </w:r>
    </w:p>
    <w:p w:rsidR="005A28DA" w:rsidRDefault="00000000">
      <w:pPr>
        <w:rPr>
          <w:rtl/>
        </w:rPr>
      </w:pPr>
      <w:r>
        <w:pict>
          <v:shape id="_x0000_s3523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5238" inset="0,0,0,0">
              <w:txbxContent>
                <w:p w:rsidR="005A28DA" w:rsidRDefault="005A28DA">
                  <w:r>
                    <w:rPr>
                      <w:rtl/>
                    </w:rPr>
                    <w:t>209                                         ספר החוקים 1156                     כ' באב התשמ"ה 07.08.1985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39" o:spid="_x0000_s1030" type="#_x0000_t202" style="position:absolute;left:0;text-align:left;margin-left:157.5pt;margin-top:620.55pt;width:117.2pt;height:35.45pt;z-index:9;mso-wrap-style:none;mso-position-horizontal-relative:page;mso-position-vertical-relative:page" stroked="f">
            <v:textbox style="mso-next-textbox:#_x0000_s35239" inset="0,0,0,0">
              <w:txbxContent>
                <w:p w:rsidR="005A28DA" w:rsidRDefault="005A28DA">
                  <w:pPr>
                    <w:pStyle w:val="OCRStyle2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5A28DA" w:rsidRDefault="005A28DA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40" o:spid="_x0000_s1031" type="#_x0000_t202" style="position:absolute;left:0;text-align:left;margin-left:371.15pt;margin-top:651.85pt;width:188.1pt;height:85.75pt;z-index:8;mso-wrap-style:none;mso-position-horizontal-relative:page;mso-position-vertical-relative:page" stroked="f">
            <v:textbox style="mso-next-textbox:#_x0000_s35240" inset="0,0,0,0">
              <w:txbxContent>
                <w:p w:rsidR="005A28DA" w:rsidRDefault="005A28DA">
                  <w:pPr>
                    <w:pStyle w:val="OCRStyle2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A28DA" w:rsidRDefault="005A28DA">
                  <w:pPr>
                    <w:pStyle w:val="OCRStyle2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נשיא המדינה</w:t>
                  </w:r>
                </w:p>
                <w:p w:rsidR="005A28DA" w:rsidRPr="005A28DA" w:rsidRDefault="005A28DA">
                  <w:pPr>
                    <w:pStyle w:val="OCRStyle2"/>
                    <w:ind w:left="306"/>
                  </w:pPr>
                  <w:r>
                    <w:rPr>
                      <w:rtl/>
                    </w:rPr>
                    <w:t>2 ס''ח התשכ"ח, עמ'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41" o:spid="_x0000_s1032" type="#_x0000_t202" style="position:absolute;left:0;text-align:left;margin-left:279.7pt;margin-top:618.75pt;width:80.8pt;height:30.5pt;z-index:7;mso-wrap-style:none;mso-position-horizontal-relative:page;mso-position-vertical-relative:page" stroked="f">
            <v:textbox style="mso-next-textbox:#_x0000_s35241" inset="0,0,0,0">
              <w:txbxContent>
                <w:p w:rsidR="005A28DA" w:rsidRDefault="005A28DA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5A28DA" w:rsidRDefault="005A28DA">
                  <w:pPr>
                    <w:pStyle w:val="OCRStyle2"/>
                    <w:ind w:left="29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42" o:spid="_x0000_s1033" type="#_x0000_t202" style="position:absolute;left:0;text-align:left;margin-left:370.35pt;margin-top:619.55pt;width:95.65pt;height:32.1pt;z-index:6;mso-wrap-style:none;mso-position-horizontal-relative:page;mso-position-vertical-relative:page" stroked="f">
            <v:textbox style="mso-next-textbox:#_x0000_s35242" inset="0,0,0,0">
              <w:txbxContent>
                <w:p w:rsidR="005A28DA" w:rsidRDefault="005A28DA">
                  <w:pPr>
                    <w:pStyle w:val="OCRStyle2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5A28DA" w:rsidRDefault="005A28DA">
                  <w:pPr>
                    <w:pStyle w:val="OCRStyle2"/>
                    <w:ind w:left="42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43" o:spid="_x0000_s1034" type="#_x0000_t202" style="position:absolute;left:0;text-align:left;margin-left:103.05pt;margin-top:79.2pt;width:447.9pt;height:539.55pt;z-index:5;mso-wrap-style:none;mso-position-horizontal-relative:page;mso-position-vertical-relative:page" stroked="f">
            <v:textbox style="mso-next-textbox:#_x0000_s35243" inset="0,0,0,0">
              <w:txbxContent>
                <w:tbl>
                  <w:tblPr>
                    <w:tblW w:w="47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7"/>
                    <w:gridCol w:w="6325"/>
                    <w:gridCol w:w="741"/>
                  </w:tblGrid>
                  <w:tr w:rsidR="005A28DA">
                    <w:trPr>
                      <w:jc w:val="right"/>
                    </w:trPr>
                    <w:tc>
                      <w:tcPr>
                        <w:tcW w:w="661" w:type="pct"/>
                      </w:tcPr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39" w:type="pct"/>
                        <w:gridSpan w:val="2"/>
                      </w:tcPr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 לקבוע בצו, לאחר התייעצות עם נשיא בית הדין הארצי ובאישור ועדת</w:t>
                        </w:r>
                      </w:p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 של הכנסת, סוגי הליכים שהמוסד לביטוח לאומי צד בהם, שבהם</w:t>
                        </w:r>
                      </w:p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ידון בית הדין הארצי בשלושה שופטים בלבד."</w:t>
                        </w:r>
                      </w:p>
                    </w:tc>
                  </w:tr>
                  <w:tr w:rsidR="005A28DA" w:rsidRPr="005A28DA">
                    <w:trPr>
                      <w:jc w:val="right"/>
                    </w:trPr>
                    <w:tc>
                      <w:tcPr>
                        <w:tcW w:w="661" w:type="pct"/>
                      </w:tcPr>
                      <w:p w:rsidR="005A28DA" w:rsidRP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339" w:type="pct"/>
                        <w:gridSpan w:val="2"/>
                      </w:tcPr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22 לחוק העיקרי, במקום סעיף קטן (א) יבוא:</w:t>
                        </w:r>
                      </w:p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נציג ציבור שהוזמן ולא בא, רשאי בית הדין, מנימוקים שיירשמו, לקיים</w:t>
                        </w:r>
                      </w:p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הדיון ללא השתתפותו, והוא רשאי, בשים לב לשלב שבו נמצא הדיון, להורות</w:t>
                        </w:r>
                      </w:p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הפסקת השתתפותו של אותו נציג ציבור באותו הליך ולקבוע כי יש להמשיך</w:t>
                        </w:r>
                      </w:p>
                      <w:p w:rsidR="005A28DA" w:rsidRP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ההליך עם נציג ציבור אחר."</w:t>
                        </w:r>
                      </w:p>
                    </w:tc>
                  </w:tr>
                  <w:tr w:rsidR="005A28DA" w:rsidRPr="005A28DA">
                    <w:trPr>
                      <w:jc w:val="right"/>
                    </w:trPr>
                    <w:tc>
                      <w:tcPr>
                        <w:tcW w:w="661" w:type="pct"/>
                      </w:tcPr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A28DA" w:rsidRP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</w:t>
                        </w:r>
                      </w:p>
                    </w:tc>
                    <w:tc>
                      <w:tcPr>
                        <w:tcW w:w="4339" w:type="pct"/>
                        <w:gridSpan w:val="2"/>
                      </w:tcPr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בחוק הביטוח הלאומי [נוסח משולב), התשכ"ח-1968  2-</w:t>
                        </w:r>
                      </w:p>
                      <w:p w:rsidR="005A28DA" w:rsidRP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64א יבוא:</w:t>
                        </w:r>
                      </w:p>
                    </w:tc>
                  </w:tr>
                  <w:tr w:rsidR="005A28DA" w:rsidRPr="005A28DA">
                    <w:trPr>
                      <w:jc w:val="right"/>
                    </w:trPr>
                    <w:tc>
                      <w:tcPr>
                        <w:tcW w:w="661" w:type="pct"/>
                      </w:tcPr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884" w:type="pct"/>
                      </w:tcPr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64א. החלטת הועדה הרפואית לעררים ניתנת לערעור, בשאלה משפטית</w:t>
                        </w:r>
                      </w:p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בלבד, לפני בית דין אזורי לעבודה; פסק דינו של בית הדין ניתן</w:t>
                        </w:r>
                      </w:p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 לפני בית הדין הארצי לעבודה אם נתקבלה רשות לכך מאת</w:t>
                        </w:r>
                      </w:p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בית הדין הארצי לעבודה או סגנו." ;</w:t>
                        </w:r>
                      </w:p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127 לד יבוא:</w:t>
                        </w:r>
                      </w:p>
                    </w:tc>
                    <w:tc>
                      <w:tcPr>
                        <w:tcW w:w="455" w:type="pct"/>
                      </w:tcPr>
                      <w:p w:rsidR="005A28DA" w:rsidRP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"ערעור</w:t>
                        </w:r>
                      </w:p>
                    </w:tc>
                  </w:tr>
                  <w:tr w:rsidR="005A28DA" w:rsidRPr="005A28DA">
                    <w:trPr>
                      <w:jc w:val="right"/>
                    </w:trPr>
                    <w:tc>
                      <w:tcPr>
                        <w:tcW w:w="661" w:type="pct"/>
                      </w:tcPr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884" w:type="pct"/>
                      </w:tcPr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לד. החלטה של ועדה רפואית לעררים והחלטה של ועדה לעררים</w:t>
                        </w:r>
                      </w:p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ניתנות לערעור, בשאלה משפטית בלבד, לפני בית דין אזורי לעבודה;</w:t>
                        </w:r>
                      </w:p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דינו של בית הדין ניתן לערעור לפני בית הדין הארצי לעבודה</w:t>
                        </w:r>
                      </w:p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נתקבלה רשות לכך מאת נשיא בית הדין הארצי לעבודה או</w:t>
                        </w:r>
                      </w:p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סגנו.";</w:t>
                        </w:r>
                      </w:p>
                      <w:p w:rsidR="005A28DA" w:rsidRP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200א יבוא:</w:t>
                        </w:r>
                      </w:p>
                    </w:tc>
                    <w:tc>
                      <w:tcPr>
                        <w:tcW w:w="455" w:type="pct"/>
                      </w:tcPr>
                      <w:p w:rsidR="005A28DA" w:rsidRP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"ערעור</w:t>
                        </w:r>
                      </w:p>
                    </w:tc>
                  </w:tr>
                  <w:tr w:rsidR="005A28DA" w:rsidRPr="005A28DA">
                    <w:trPr>
                      <w:jc w:val="right"/>
                    </w:trPr>
                    <w:tc>
                      <w:tcPr>
                        <w:tcW w:w="661" w:type="pct"/>
                      </w:tcPr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884" w:type="pct"/>
                      </w:tcPr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200א. קביעה של דרגת נכות מכוח הסכם שנערך לפי סעיף 200, לפי</w:t>
                        </w:r>
                      </w:p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198אא והתקנות לפיו או לפי פרק ט2, ניתנת לערעור, בשאלה</w:t>
                        </w:r>
                      </w:p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משפטית בלבד, לפני בית דין אזורי לעבודה; פסק דינו של בית הדין</w:t>
                        </w:r>
                      </w:p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לערעור לפני בית הדין הארצי לעבודה אם נתקבלה רשות לכך</w:t>
                        </w:r>
                      </w:p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נשיא בית הדין הארצי לעבודה או סגנו."</w:t>
                        </w:r>
                      </w:p>
                    </w:tc>
                    <w:tc>
                      <w:tcPr>
                        <w:tcW w:w="455" w:type="pct"/>
                      </w:tcPr>
                      <w:p w:rsidR="005A28DA" w:rsidRP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"ערעור</w:t>
                        </w:r>
                      </w:p>
                    </w:tc>
                  </w:tr>
                  <w:tr w:rsidR="005A28DA" w:rsidRPr="005A28DA">
                    <w:trPr>
                      <w:jc w:val="right"/>
                    </w:trPr>
                    <w:tc>
                      <w:tcPr>
                        <w:tcW w:w="661" w:type="pct"/>
                      </w:tcPr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תחילו/ והוראות</w:t>
                        </w:r>
                      </w:p>
                      <w:p w:rsidR="005A28DA" w:rsidRP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339" w:type="pct"/>
                        <w:gridSpan w:val="2"/>
                      </w:tcPr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סעיף 1 לא יחול על נציג ציבור בבית דין אזורי שנתמנה לפני תחילתו של</w:t>
                        </w:r>
                      </w:p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5 ביום כ' בטבת התשמ"ו (1 בינואר 1986); ערעורים</w:t>
                        </w:r>
                      </w:p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שבית דין אזורי לעבודה הוסמך לדון בהם לפי סעיף 5, ושהוגשו לבית הדין הארצי</w:t>
                        </w:r>
                      </w:p>
                      <w:p w:rsid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 לפני היום האמור וטרם החל הדיון בהם, יועברו לדיון בבית הדין האזורי שבאזור</w:t>
                        </w:r>
                      </w:p>
                      <w:p w:rsidR="005A28DA" w:rsidRPr="005A28DA" w:rsidRDefault="005A28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שיפוטו נמצא מקום מגוריו של המערער.</w:t>
                        </w:r>
                      </w:p>
                    </w:tc>
                  </w:tr>
                </w:tbl>
                <w:p w:rsidR="005A28DA" w:rsidRDefault="005A28D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70CC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AFE6370-4657-4F65-958B-CE2B3DEBE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70CC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A28D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2008-04-07T02:12:00Z</dcterms:created>
  <dcterms:modified xsi:type="dcterms:W3CDTF">2008-04-07T02:12:00Z</dcterms:modified>
</cp:coreProperties>
</file>