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69E4" w:rsidRDefault="001669E4">
      <w:pPr>
        <w:rPr>
          <w:rtl/>
        </w:rPr>
      </w:pPr>
    </w:p>
    <w:p w:rsidR="001669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13" inset="0,0,0,0">
              <w:txbxContent>
                <w:p w:rsidR="000E7AAE" w:rsidRDefault="000E7AAE">
                  <w:r>
                    <w:rPr>
                      <w:rtl/>
                    </w:rPr>
                    <w:t>80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4" o:spid="_x0000_s1026" type="#_x0000_t202" style="position:absolute;left:0;text-align:left;margin-left:88.25pt;margin-top:675.85pt;width:394.2pt;height:65.35pt;z-index:3;mso-wrap-style:none;mso-position-horizontal-relative:page;mso-position-vertical-relative:page" stroked="f">
            <v:textbox style="mso-next-textbox:#_x0000_s35614" inset="0,0,0,0">
              <w:txbxContent>
                <w:p w:rsidR="000E7AAE" w:rsidRDefault="000E7AAE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התשמ"ז (1 באפריל 1987)1 הצעת החוק ודברי הסבר פורסמו בה"ח 1766, התשמ"ו,</w:t>
                  </w:r>
                </w:p>
                <w:p w:rsidR="000E7AAE" w:rsidRDefault="000E7AA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עמ' 78.</w:t>
                  </w:r>
                </w:p>
                <w:p w:rsidR="000E7AAE" w:rsidRPr="001669E4" w:rsidRDefault="000E7AAE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1 ס"ח התשל"ז, עמ' 226 :התשמ"ו, עמ' 219.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5" o:spid="_x0000_s1027" type="#_x0000_t202" style="position:absolute;left:0;text-align:left;margin-left:85.7pt;margin-top:95.1pt;width:475.2pt;height:579.15pt;z-index:2;mso-wrap-style:none;mso-position-horizontal-relative:page;mso-position-vertical-relative:page" stroked="f">
            <v:textbox style="mso-next-textbox:#_x0000_s35615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7"/>
                    <w:gridCol w:w="1346"/>
                    <w:gridCol w:w="1408"/>
                  </w:tblGrid>
                  <w:tr w:rsidR="000E7AAE" w:rsidRPr="001669E4">
                    <w:trPr>
                      <w:jc w:val="right"/>
                    </w:trPr>
                    <w:tc>
                      <w:tcPr>
                        <w:tcW w:w="4185" w:type="pct"/>
                        <w:gridSpan w:val="2"/>
                      </w:tcPr>
                      <w:p w:rsidR="000E7AAE" w:rsidRPr="001669E4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בפרק ו' לחוק העונשין, התשל"ז-1977 1, אחרי סימן ב' יבוא: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E7AAE" w:rsidRPr="001669E4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ב'1</w:t>
                        </w:r>
                      </w:p>
                    </w:tc>
                  </w:tr>
                  <w:tr w:rsidR="000E7AAE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בי 1: נשיאת מאסר בעבודת שירות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5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7AAE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51א, בסימן זה -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"הממונה" - הממונה על עבודת שירות שמונה לפי סעיף 51יא;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"עבודת משק" .- עבודה מחוץ לכתלי בית הסוהר, לרבות במוסד ממוסדות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אשר את סוגה, מקומה ותנאיה קבע המנהל הכללי של שירות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 בהתאם לצרכי המשק; קביעה כאמור אינה טעונה פרסום ברשומות: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ציבורית" - עבודה מחוץ לכתלי בית הסוהר, במוסד ממוסדות המדינה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בגוף ציבורי אחר, שאינה עבודת משק, והיא למטרות של תועלת לציבור,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את סוגה, מקומה ותנאיה קבע המנהל הכללי של שירות התעסוקה;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כאמור אינה טעונה פרסום ברשומות',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"עבודת שירות" - עבודת משק או עבודה ציבורית;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שירות" - מי שנושא עונש מאסר בעבודת שירות.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E7AAE" w:rsidRPr="001669E4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7AAE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51ב. (א) בית משפט שגזר על אדם מאסר בפועל לתקופה שאינה עולה על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חדשים, רשאי להחליט שהנידון ישא את עונש המאסר, כולו או חלקו,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שירות:  קבע בית המשפט כי חלק מעונש המאסר יהיה בעבודת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יקבע את סדר נשיאת העונש.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יחליט כאמור בסעיף קטן (א) אלא לאחר שהנידון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הביע הסכמתו לשאת את עונש המאסר בעבודת שירות ולאחר שהממונה הודיע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מהי עבודת השירות שהנידון יכול לעבוד בה: בית המשפט רשאי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 מהממונה חוות דעת כאמור לפני שגזר את דינו של הנאשם למאסר או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מכן.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לקבוע תנאים לעבודת שירות.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זה, תקופת מאסר בפועל תחושב כך: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תקופות מאסר חופפות - לפי התקופה הארוכה יותר;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תקופות מאסר מצטברות - לפי סך כל התקופות.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נשיאת מאסר</w:t>
                        </w:r>
                      </w:p>
                      <w:p w:rsidR="000E7AAE" w:rsidRPr="001669E4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שירות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E7AAE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51ג. (א) מי שבית המשפט החליט לגביו על עבודת שירות ולא קבע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שהעבודה תחל לאחר נשיאת עונש מאסר, לא יאסר ויחל בעבודת השירות ביום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 יום גזר הדין או במועד מאוחר יותר, כפי שקבע בית המשפט; קבע בית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כי עבודת השירות תהיה לאחר נשיאת חלק מן המאסר - יקבע את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לתחילת עבודת השירות.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49(א&gt; לא יחול על מי שבית המשפט החליט לגביו כי ישא את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המאסר בעבודת שירות, בין אם ההחלטה חלה על כל תקופת המאסר</w:t>
                        </w:r>
                      </w:p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שנגזרה עליו ובין אם על חלק ממנה.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0E7AAE" w:rsidRPr="001669E4" w:rsidRDefault="000E7A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השירות</w:t>
                        </w:r>
                      </w:p>
                    </w:tc>
                    <w:tc>
                      <w:tcPr>
                        <w:tcW w:w="815" w:type="pct"/>
                      </w:tcPr>
                      <w:p w:rsidR="000E7AAE" w:rsidRDefault="000E7AA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E7AAE" w:rsidRDefault="000E7A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16" o:spid="_x0000_s1028" type="#_x0000_t202" style="position:absolute;left:0;text-align:left;margin-left:169.85pt;margin-top:73.75pt;width:239.2pt;height:20.6pt;z-index:1;mso-wrap-style:none;mso-position-horizontal-relative:page;mso-position-vertical-relative:page" stroked="f">
            <v:textbox style="mso-next-textbox:#_x0000_s35616" inset="0,0,0,0">
              <w:txbxContent>
                <w:p w:rsidR="000E7AAE" w:rsidRPr="001669E4" w:rsidRDefault="000E7AAE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העונשין (תיקון מס' 21), התשמ"ז-1987*</w:t>
                  </w:r>
                </w:p>
              </w:txbxContent>
            </v:textbox>
            <w10:wrap anchorx="page" anchory="page"/>
          </v:shape>
        </w:pict>
      </w:r>
    </w:p>
    <w:p w:rsidR="009614FC" w:rsidRDefault="009614FC">
      <w:pPr>
        <w:rPr>
          <w:rtl/>
        </w:rPr>
      </w:pPr>
      <w:r>
        <w:rPr>
          <w:rtl/>
        </w:rPr>
        <w:br w:type="page"/>
      </w:r>
    </w:p>
    <w:p w:rsidR="009614FC" w:rsidRDefault="00000000">
      <w:pPr>
        <w:rPr>
          <w:rtl/>
        </w:rPr>
      </w:pPr>
      <w:r>
        <w:pict>
          <v:shape id="_x0000_s3561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617" inset="0,0,0,0">
              <w:txbxContent>
                <w:p w:rsidR="000E7AAE" w:rsidRDefault="000E7AAE">
                  <w:r>
                    <w:rPr>
                      <w:rtl/>
                    </w:rPr>
                    <w:t>81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8" o:spid="_x0000_s1030" type="#_x0000_t202" style="position:absolute;left:0;text-align:left;margin-left:376.15pt;margin-top:694.8pt;width:169.1pt;height:48.7pt;z-index:6;mso-wrap-style:none;mso-position-horizontal-relative:page;mso-position-vertical-relative:page" stroked="f">
            <v:textbox style="mso-next-textbox:#_x0000_s35618" inset="0,0,0,0">
              <w:txbxContent>
                <w:p w:rsidR="000E7AAE" w:rsidRPr="009614FC" w:rsidRDefault="000E7AAE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2 ס''ח התשמ"ז,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19" o:spid="_x0000_s1031" type="#_x0000_t202" style="position:absolute;left:0;text-align:left;margin-left:133.6pt;margin-top:69.5pt;width:417.4pt;height:618.75pt;z-index:5;mso-wrap-style:none;mso-position-horizontal-relative:page;mso-position-vertical-relative:page" stroked="f">
            <v:textbox style="mso-next-textbox:#_x0000_s35619" inset="0,0,0,0">
              <w:txbxContent>
                <w:tbl>
                  <w:tblPr>
                    <w:tblW w:w="445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0"/>
                    <w:gridCol w:w="1417"/>
                  </w:tblGrid>
                  <w:tr w:rsidR="000E7AAE" w:rsidRPr="009614FC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עבודת שירות תהיה בפיקוחו של מפקח שהממונה מינה לכך (להלן -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מפקח) והמפקח רשאי להיעזר באחרים לצורך זה.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הממונה רשאי להעביר עובד שירות למקום עבודה אחר, מטעמים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שבעבודת השירות ובהתאם לכללים שיקבע שר המשטרה בתקנות.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51ד. (א) עובד שירות בעבודת משק ייחשב עובדו של המעביד במקום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שבו הוא מועסק (להלן - המעביד) ויחולו עליו תנאי העבודה החלים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מקום עבודה, בתנאים ובתיאומים ששר העבודה והרווחה רשאי לקבוע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באישור ועדת החוקה חוק ומשפט של הכנסת.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המעביד יעביר את שכר העבודה של עובד השירות לשירות בתי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הסוהר: נציב בתי הסוהר רשאי, בהסכמת שירות התעסוקה, להורות למעביד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שכר העבודה יועבר לשירות התעסוקה: העברת שכר העבודה תהיה בדרך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 בתקנות.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שירות בתי הסוהר או שירות התעסוקה, לפי הענין, ישלם את שכר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לעובד השירות בניכויים המפורטים בסעיף קטן (ד), הכל כפי שייקבע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ובלבד ששכר העבודה שיוותר בידי עובד השירות בכל חודש לא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יפחת מתשעים אחוזים משכר המינימום כמשמעותו בחוק שכר מינימום,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התשמ"ז-21987.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ואלה הניכויים: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הכרוכות בארגון עבודת השירות ובפיקוח על עובדי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ובלבד שהניכוי לא יעלה על עשרה אחוזים משכרו של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השירות: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פיצויים או הוצאות שחייב בהם עובד השירות לפי סימן ו';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קנס שהוטל על עובד השירות לפי סימן ד'.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בעבודת</w:t>
                        </w:r>
                      </w:p>
                      <w:p w:rsidR="000E7AAE" w:rsidRPr="009614FC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</w:t>
                        </w:r>
                      </w:p>
                    </w:tc>
                  </w:tr>
                  <w:tr w:rsidR="000E7AAE" w:rsidRPr="009614FC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51ה. עובד שירות בעבודה ציבורית לא יקבל שכר ולא ייחשב כעובדו של מי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שבשבילו או באמצעותו הוא מבצע את השירות, למעט לענין דיני העונשין,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הבטיחות בעבודה ואחריות בנזיקין כלפי אותו עובד שירות.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בעבודה</w:t>
                        </w:r>
                      </w:p>
                      <w:p w:rsidR="000E7AAE" w:rsidRPr="009614FC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</w:t>
                        </w:r>
                      </w:p>
                    </w:tc>
                  </w:tr>
                  <w:tr w:rsidR="000E7AAE" w:rsidRPr="009614FC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מספר הימים בעבודת שירות יהיה כמספר ימי המאסר בתקופת המאסר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שגזר בית המשפט על הנידון או כמספר ימי מאסר בתקופת המאסר שלגביה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בית המשפט כי תהיה בעבודת שירות, לפי הענין, בהפחתת ימי המנוחה</w:t>
                        </w:r>
                      </w:p>
                      <w:p w:rsidR="000E7AAE" w:rsidRPr="009614FC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הנידון וימי שבתון על פי חוק.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עבודת</w:t>
                        </w:r>
                      </w:p>
                      <w:p w:rsidR="000E7AAE" w:rsidRPr="009614FC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  <w:tr w:rsidR="000E7AAE" w:rsidRPr="009614FC">
                    <w:trPr>
                      <w:jc w:val="right"/>
                    </w:trPr>
                    <w:tc>
                      <w:tcPr>
                        <w:tcW w:w="4066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151. (א) נסתיימה העבודה במקום עבודת השירות, יעביר הממונה את עובד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ללא שיהוי לעבודת שירות במקום עבודה אחר.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השירות יודיע לממונה, ללא שיהוי, על כל הפסקה בעבודה או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העדרות ממנה; ההודעה תהיה בדרך שתיקבע בתקנות.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עובד שירות לא יעדר מעבודתו אלא באישור הממונה או מפקח;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יהיה לפי כללים שיקבע שר המשטרה בתקנות.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ימי הפסקת עבודת שירות וימי העדרותו של עובד שירות לפי סעיף</w:t>
                        </w:r>
                      </w:p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לא יבואו במנין ימי עבודת השירות.</w:t>
                        </w:r>
                      </w:p>
                    </w:tc>
                    <w:tc>
                      <w:tcPr>
                        <w:tcW w:w="934" w:type="pct"/>
                      </w:tcPr>
                      <w:p w:rsidR="000E7AAE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בעבודת</w:t>
                        </w:r>
                      </w:p>
                      <w:p w:rsidR="000E7AAE" w:rsidRPr="009614FC" w:rsidRDefault="000E7AA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</w:tbl>
                <w:p w:rsidR="000E7AAE" w:rsidRDefault="000E7AA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431FC" w:rsidRDefault="004431FC">
      <w:pPr>
        <w:rPr>
          <w:rtl/>
        </w:rPr>
      </w:pPr>
      <w:r>
        <w:rPr>
          <w:rtl/>
        </w:rPr>
        <w:br w:type="page"/>
      </w:r>
    </w:p>
    <w:p w:rsidR="004431FC" w:rsidRDefault="00000000">
      <w:pPr>
        <w:rPr>
          <w:rtl/>
        </w:rPr>
      </w:pPr>
      <w:r>
        <w:pict>
          <v:shape id="_x0000_s3562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620" inset="0,0,0,0">
              <w:txbxContent>
                <w:p w:rsidR="000E7AAE" w:rsidRDefault="000E7AAE">
                  <w:r>
                    <w:rPr>
                      <w:rtl/>
                    </w:rPr>
                    <w:t>82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1" o:spid="_x0000_s1033" type="#_x0000_t202" style="position:absolute;left:0;text-align:left;margin-left:86.75pt;margin-top:697.25pt;width:390.05pt;height:51.9pt;z-index:9;mso-wrap-style:none;mso-position-horizontal-relative:page;mso-position-vertical-relative:page" stroked="f">
            <v:textbox style="mso-next-textbox:#_x0000_s35621" inset="0,0,0,0">
              <w:txbxContent>
                <w:p w:rsidR="000E7AAE" w:rsidRPr="004431FC" w:rsidRDefault="000E7AAE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3 דיני מדינת ישראל, נוסח חדש 21, עמ' 459.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2" o:spid="_x0000_s1034" type="#_x0000_t202" style="position:absolute;left:0;text-align:left;margin-left:82.6pt;margin-top:69.4pt;width:411.65pt;height:624.5pt;z-index:8;mso-wrap-style:none;mso-position-horizontal-relative:page;mso-position-vertical-relative:page" stroked="f">
            <v:textbox style="mso-next-textbox:#_x0000_s35622" inset="0,0,0,0">
              <w:txbxContent>
                <w:tbl>
                  <w:tblPr>
                    <w:tblW w:w="43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30"/>
                    <w:gridCol w:w="1453"/>
                  </w:tblGrid>
                  <w:tr w:rsidR="000E7AAE" w:rsidRPr="004431F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51ח. עובד שירות יבצע את עבודת השירות שהוטלה עליו ויציית להוראות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בכל הקשור לעבודת השירות.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חובותיו של</w:t>
                        </w:r>
                      </w:p>
                      <w:p w:rsidR="000E7AAE" w:rsidRPr="004431FC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שירות</w:t>
                        </w:r>
                      </w:p>
                    </w:tc>
                  </w:tr>
                  <w:tr w:rsidR="000E7AAE" w:rsidRPr="004431F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51ט. (א) נציב בתי הסוהר רשאי להחליט כי עבודתו של עובד שירות תופסק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וכי הוא ישא את יתרת עונשו בבית סוהר, אם ראה הנציב כי נתקיים בעובד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אחד מאלה: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נעדר מהעבודה ללא אישור הממונה או המפקח?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התרשל בביצוע עבודתו או שמבחינה אחרת אין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התנהגותו בעבודה מניחה את הדעת;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הוא הפר תנאי מתנאי עבודת השירות שקבע בית המשפט לפי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51ב(ג&gt;;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הוא לא ציית להוראה של הממונה או של המפקח או לא קיים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חובה המוטלת עליו לפי סימן זה;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נפתחה נגדו חקירה בחשד שעבר עבירה.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נציב בתי הסוהר כאמור בסעיף קטן (א), תימסר, ללא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שיהוי, הודעה על כך לעובד השירות ועבודתו תופסק למחרת היום שבו נמסרה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ההודעה.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החלטת נציב בתי הסוהר לפי סעיף קטן (א) רשאי עובד השירות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עתירה לפי סעיף 62א לפקודת בתי הסוהר [נוסח חדש], התשל"ב-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31971 (להלן - עתירה) לבית המשפט המחוזי שבאזור שיפוטו נמצא מקום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של עובד השירות, תוך שבעה ימים מהיום שבו נמסרה לו ההחלטה; על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עתירה כאמור יחולו הוראות סימן ח' 1 של פרק ב' לפקודה האמורה, במידה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שאינן סותרות הוראות סעיף זה.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הגיש עובד השירות עתירה - תימשך ההפסקה בעבודת השירות עד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למחרת היום שבו תינתן החלטת בית המשפט; לא הגיש עתירה - ישא עובד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את יתרת עונשו בבית סוהר החל במחרת היום שבו תם המועד להגשת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העתירה.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החלטתו של בית משפט בעתירה תבוצע החל ביום שלמחרת נתינתה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כן קבע בית המשפט מועד אחר.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ימי הפסקת עבודת השירות לפי סעיף זה לא יבואו במנין ימי עבודת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עבודת</w:t>
                        </w:r>
                      </w:p>
                      <w:p w:rsidR="000E7AAE" w:rsidRPr="004431FC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  <w:tr w:rsidR="000E7AAE" w:rsidRPr="004431FC">
                    <w:trPr>
                      <w:jc w:val="right"/>
                    </w:trPr>
                    <w:tc>
                      <w:tcPr>
                        <w:tcW w:w="4029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51י. (א) הרשיע בית משפט עובד שירות בתקופת עבודתו בשל עבירה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אחרת, יחולו הוראות אלה: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גזר בית המשפט עונש מאסר בשל העבירה האחרת - תופסק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השירות מיום מתן גזר הדין ועובד השירות ישא את יתרת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 בבית הסוהר מהיום האמור או מיום אחר שקבע בית המשפט?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השירות ישא את תקופות המאסר בזו אחר זו, זולת אם בית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שהרשיעו בשל העבירה האחרת, ציווה ששתי התקופות,</w:t>
                        </w:r>
                      </w:p>
                      <w:p w:rsidR="000E7AAE" w:rsidRPr="004431FC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כולן או מקצתן, יהיו חופפות;</w:t>
                        </w:r>
                      </w:p>
                    </w:tc>
                    <w:tc>
                      <w:tcPr>
                        <w:tcW w:w="971" w:type="pct"/>
                      </w:tcPr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שיפוטית</w:t>
                        </w:r>
                      </w:p>
                      <w:p w:rsidR="000E7AAE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עבודת</w:t>
                        </w:r>
                      </w:p>
                      <w:p w:rsidR="000E7AAE" w:rsidRPr="004431FC" w:rsidRDefault="000E7AA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</w:t>
                        </w:r>
                      </w:p>
                    </w:tc>
                  </w:tr>
                </w:tbl>
                <w:p w:rsidR="000E7AAE" w:rsidRDefault="000E7AA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46D71" w:rsidRDefault="00946D71">
      <w:pPr>
        <w:rPr>
          <w:rtl/>
        </w:rPr>
      </w:pPr>
      <w:r>
        <w:rPr>
          <w:rtl/>
        </w:rPr>
        <w:br w:type="page"/>
      </w:r>
    </w:p>
    <w:p w:rsidR="00946D71" w:rsidRDefault="00000000">
      <w:pPr>
        <w:rPr>
          <w:rtl/>
        </w:rPr>
      </w:pPr>
      <w:r>
        <w:pict>
          <v:shape id="_x0000_s3562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623" inset="0,0,0,0">
              <w:txbxContent>
                <w:p w:rsidR="000E7AAE" w:rsidRDefault="000E7AAE">
                  <w:r>
                    <w:rPr>
                      <w:rtl/>
                    </w:rPr>
                    <w:t>83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4" o:spid="_x0000_s1036" type="#_x0000_t202" style="position:absolute;left:0;text-align:left;margin-left:361.5pt;margin-top:659.25pt;width:178.2pt;height:73.45pt;z-index:12;mso-wrap-style:none;mso-position-horizontal-relative:page;mso-position-vertical-relative:page" stroked="f">
            <v:textbox style="mso-next-textbox:#_x0000_s35624" inset="0,0,0,0">
              <w:txbxContent>
                <w:p w:rsidR="000E7AAE" w:rsidRDefault="000E7AAE">
                  <w:pPr>
                    <w:pStyle w:val="OCRStyle4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4 ס"ח התשכ"ח, עמ' 108.</w:t>
                  </w:r>
                </w:p>
                <w:p w:rsidR="000E7AAE" w:rsidRDefault="000E7AAE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5 ס"ח התשמ"א, עמ' .30</w:t>
                  </w:r>
                </w:p>
                <w:p w:rsidR="000E7AAE" w:rsidRPr="00946D71" w:rsidRDefault="000E7AAE">
                  <w:pPr>
                    <w:pStyle w:val="OCRStyle4"/>
                    <w:ind w:left="108"/>
                  </w:pPr>
                  <w:r>
                    <w:rPr>
                      <w:rtl/>
                    </w:rPr>
                    <w:t>6 ס"ח התשי"ח, עמ' 86: התשמ"ה, עמ' .210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5" o:spid="_x0000_s1037" type="#_x0000_t202" style="position:absolute;left:0;text-align:left;margin-left:95.75pt;margin-top:58.75pt;width:458.75pt;height:592.4pt;z-index:11;mso-wrap-style:none;mso-position-horizontal-relative:page;mso-position-vertical-relative:page" stroked="f">
            <v:textbox style="mso-next-textbox:#_x0000_s35625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5810"/>
                    <w:gridCol w:w="1356"/>
                  </w:tblGrid>
                  <w:tr w:rsidR="000E7AAE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החליט בית המשפט לגזור בשל העבירה האחרת עונש שאיננו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מאסר - רשאי הוא לקבוע שעבודת השירות תופסק ושעובד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ישא את יתרת עונשו בבית הסוהר מהיום שיקבע בית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החלטת בית משפט לפי סעיף קטן (א)(2) ניתן לערער תוך שבעה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שנמסרה ההחלטה למערער; בית המשפט ידון בערעור בשופט אחד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והחלטתו תהיה סופית.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0E7AAE" w:rsidRPr="00946D7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51יא. (א) שר המשטרה ימנה קצין שירות בתי הסוהר לממונה על עבודת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שירות.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הממונה יפעל בתיאום עם שירות התעסוקה לארגון עבודת השירות,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למציאת מקומות לעבודת שירות, להצבתם של נידונים לעבודה בהם, למינוי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 מקרב עובדי המדינה ולפיקוח על עבודת שירות.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 על</w:t>
                        </w:r>
                      </w:p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שירות</w:t>
                        </w:r>
                      </w:p>
                    </w:tc>
                  </w:tr>
                  <w:tr w:rsidR="000E7AAE" w:rsidRPr="00946D7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3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51יב. (א) שר המשטרה רשאי להתקין תקנות לביצוע סימן זה.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שיתקין שר המשטרה לפי סימן זה יהיו בהתייעצות עם -שר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ושר העבודה והרווחה ובאישור ועדת החוקה חוק ומשפט של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0E7AAE" w:rsidRPr="00946D7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198ה לחוק הביטוח הלאומי [נוסח משולב), התשכ"ח-41968, בהגדרת "מתנדב'/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(3א) יבוא: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מי שעושה עבודה ציבורית או שירות לציבור לפי סימנים ב'1 או ד'1 לפרק</w:t>
                        </w:r>
                      </w:p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 של חוק העונשין, התשל"ז-1977:".</w:t>
                        </w:r>
                      </w:p>
                    </w:tc>
                  </w:tr>
                  <w:tr w:rsidR="000E7AAE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2(א) לחוק הבטחת הכנסה, התשמ"א-51980, אחרי פסקה (7) יבוא: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"(8) הוא עובד שירות בעבודה ציבורית לפי סימן ב'1 לפרק ו' של חוק העונשין,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התשל"ז-1977."</w:t>
                        </w:r>
                      </w:p>
                    </w:tc>
                  </w:tr>
                  <w:tr w:rsidR="000E7AAE" w:rsidRPr="00946D71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השכר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הגנת השכר, התשי"ח-61958 -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בהגדרת "היום הקובע", בסופה יבוא "ולגבי עובד שירות בעבודת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לפי סימן ב'1 לפרק ו' של חוק העונשין, התשל"ז-1977 - היום העשרים ואחד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המועד האמור":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6 יסומן (א) ואחריו יבוא: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שכר עבודה לעובד שירות בעבודת משק לפי סימן ב'1 לפרק וי של חוק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התשל"ז-1977, ישולם באמצעות שירות בתי הסוהר או באמצעות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התעסוקה.";</w:t>
                        </w:r>
                      </w:p>
                      <w:p w:rsidR="000E7AAE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8(ו), אחרי "לשכת העבודה" יבוא "שירות בתי הסוהר";</w:t>
                        </w:r>
                      </w:p>
                      <w:p w:rsidR="000E7AAE" w:rsidRPr="00946D71" w:rsidRDefault="000E7AA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28, בסופו יבוא:</w:t>
                        </w:r>
                      </w:p>
                    </w:tc>
                  </w:tr>
                </w:tbl>
                <w:p w:rsidR="000E7AAE" w:rsidRDefault="000E7AA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0612" w:rsidRDefault="00900612">
      <w:pPr>
        <w:rPr>
          <w:rtl/>
        </w:rPr>
      </w:pPr>
      <w:r>
        <w:rPr>
          <w:rtl/>
        </w:rPr>
        <w:br w:type="page"/>
      </w:r>
    </w:p>
    <w:p w:rsidR="00900612" w:rsidRDefault="00000000">
      <w:pPr>
        <w:rPr>
          <w:rtl/>
        </w:rPr>
      </w:pPr>
      <w:r>
        <w:pict>
          <v:shape id="_x0000_s3562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35626" inset="0,0,0,0">
              <w:txbxContent>
                <w:p w:rsidR="000E7AAE" w:rsidRDefault="000E7AAE">
                  <w:r>
                    <w:rPr>
                      <w:rtl/>
                    </w:rPr>
                    <w:t>84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7" o:spid="_x0000_s1039" type="#_x0000_t202" style="position:absolute;left:0;text-align:left;margin-left:88pt;margin-top:663.7pt;width:389.25pt;height:74.25pt;z-index:15;mso-wrap-style:none;mso-position-horizontal-relative:page;mso-position-vertical-relative:page" stroked="f">
            <v:textbox style="mso-next-textbox:#_x0000_s35627" inset="0,0,0,0">
              <w:txbxContent>
                <w:p w:rsidR="000E7AAE" w:rsidRDefault="000E7AAE">
                  <w:pPr>
                    <w:pStyle w:val="OCRStyle5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7 ס"ח התשמ"ו, עמ' 107.</w:t>
                  </w:r>
                </w:p>
                <w:p w:rsidR="000E7AAE" w:rsidRDefault="000E7AAE">
                  <w:pPr>
                    <w:pStyle w:val="OCRStyle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ס"ח התשט"ו, עמ' .171</w:t>
                  </w:r>
                </w:p>
                <w:p w:rsidR="000E7AAE" w:rsidRPr="00900612" w:rsidRDefault="000E7AAE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9 חוקי א"י, כרך ב', עמ' 1079: ס"ח התשי"ז,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8" o:spid="_x0000_s1040" type="#_x0000_t202" style="position:absolute;left:0;text-align:left;margin-left:76.3pt;margin-top:64.75pt;width:478.55pt;height:593.2pt;z-index:14;mso-wrap-style:none;mso-position-horizontal-relative:page;mso-position-vertical-relative:page" stroked="f">
            <v:textbox style="mso-next-textbox:#_x0000_s35628" inset="0,0,0,0">
              <w:txbxContent>
                <w:tbl>
                  <w:tblPr>
                    <w:tblW w:w="51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6"/>
                    <w:gridCol w:w="1364"/>
                  </w:tblGrid>
                  <w:tr w:rsidR="000E7AAE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שירות בתי הסוהר או שירות התעסוקה - לגבי סכום שהמעביד חייב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לעובד שירות בעבודת משק לפי סימן ב'1 לפרק ו' של חוק העונשין,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0E7AAE" w:rsidRPr="0090061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האמור בסעיף 18 לחוק שירות בטחון [נוסח משולב], התשמ"ו-71986, יסומן (א) ואחריו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לענין סעיף זה וסעיף 31 תיחשב תקופה בה נשא אדם עונש מאסר בעבודת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לפי סימן ב'1 לפרק ו' של חוק העונשין, התשל"ז-1977, כאילו היתה תקופת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כליאה".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</w:t>
                        </w:r>
                      </w:p>
                    </w:tc>
                  </w:tr>
                  <w:tr w:rsidR="000E7AAE" w:rsidRPr="0090061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541 לחוק השיפוט הצבאי, התשט"ו-81955, בסופו יבוא: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(א) האמור בסימן ב'1 לאותו פרק (להלן - סימן ב'1) יחול הן לגבי עבירות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צבאיות והן לגבי עבירות שאינן צבאיות, בשינויים הבאים: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עבודת שירות שבית דין צבאי יהא מוסמך לקבוע תהא עבודה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כמשמעותה בסימן ב'1 במסגרת הצבא (להלן - עבודה צבאית):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הסמכויות הנתונות בסימן ב'1 לממונה, למפקח, למנהל הכללי של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התעסוקה ולנציב בתי הסוהר יהיו נתונות, לגבי נידון שבית דין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קבע כי ישא עונשו בעבודה צבאית (להלן - אסיר בעבודה צבאית),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שהרמטכ"ל מינה לכך באישור שר הבטחון,'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הסמכויות הנתונות בסימן ב'1 לבית משפט יהיו נתונות לבית דין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צבאי, ואולם הסמכות הנתונה לבית המשפט המחוזי בסעיף 51ט(ג) בסימן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ב'1 תהיה נתונה לנשיאו של בית הדין הצבאי המחוזי, והסמכות הנתונה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כערעור על החלטות לפי סעיפים 51ט(ג) ו-51י(ב) בסימן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ב'1 תהיה נתונה לשופט משפטאי של בית הדין הצבאי לערעורים.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אסיר בעבודה צבאית יוסיפו לחול הדינים החלים על כל חייל, בכפוף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לאמור בתקנות לפי סעיף קטן (ג).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סמכויות שר המשטרה לפי סימן ב'1 יהיו נתונות לשר הבטחון והוא יהיה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להתקין תקנות לביצוע האמור בפסקת משנה (א) לגבי אסיר בעבודה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צבאית, לרבות בענין תשלומים לאסיר או תמורתם, ניכויים מהם, הפסקה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בשל מחלה או סיבה אחרת, סדרי דין בערעור ובעתידה לפי סעיף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51ט(ג) בסימן ב'1 ומועד שמיעתם וכן בענין זכויותיו וחובותיו של אסיר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צבאית".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הצבאי</w:t>
                        </w:r>
                      </w:p>
                    </w:tc>
                  </w:tr>
                  <w:tr w:rsidR="000E7AAE" w:rsidRPr="0090061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פקודת עבודת עונשין9 - בטלה.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6קודת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עונשיו</w:t>
                        </w:r>
                      </w:p>
                    </w:tc>
                  </w:tr>
                  <w:tr w:rsidR="000E7AAE" w:rsidRPr="00900612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תחילתו של חוק זה ביום ד' בתמוז התשמ"ז (1 ביולי 1987).</w:t>
                        </w:r>
                      </w:p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יחול על מי שערב תחילתו מועבד על פי סעיף 2(2) לפקודת עבודת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עונשין, והוראות הפקודה האמורה ימשיכו לחול לגביו עד תום תקופת עבודתו.</w:t>
                        </w:r>
                      </w:p>
                    </w:tc>
                    <w:tc>
                      <w:tcPr>
                        <w:tcW w:w="784" w:type="pct"/>
                      </w:tcPr>
                      <w:p w:rsidR="000E7AAE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והוראת</w:t>
                        </w:r>
                      </w:p>
                      <w:p w:rsidR="000E7AAE" w:rsidRPr="00900612" w:rsidRDefault="000E7AA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0E7AAE" w:rsidRDefault="000E7AA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0E7AAE" w:rsidRDefault="000E7AAE">
      <w:pPr>
        <w:rPr>
          <w:rtl/>
        </w:rPr>
      </w:pPr>
      <w:r>
        <w:rPr>
          <w:rtl/>
        </w:rPr>
        <w:br w:type="page"/>
      </w:r>
    </w:p>
    <w:p w:rsidR="000E7AAE" w:rsidRDefault="00000000">
      <w:pPr>
        <w:rPr>
          <w:rtl/>
        </w:rPr>
      </w:pPr>
      <w:r>
        <w:pict>
          <v:shape id="_x0000_s35629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5629" inset="0,0,0,0">
              <w:txbxContent>
                <w:p w:rsidR="000E7AAE" w:rsidRDefault="000E7AAE">
                  <w:r>
                    <w:rPr>
                      <w:rtl/>
                    </w:rPr>
                    <w:t>85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0" o:spid="_x0000_s1042" type="#_x0000_t202" style="position:absolute;left:0;text-align:left;margin-left:385.8pt;margin-top:710.4pt;width:162.55pt;height:28.7pt;z-index:21;mso-wrap-style:none;mso-position-horizontal-relative:page;mso-position-vertical-relative:page" stroked="f">
            <v:textbox style="mso-next-textbox:#_x0000_s35630" inset="0,0,0,0">
              <w:txbxContent>
                <w:p w:rsidR="000E7AAE" w:rsidRDefault="000E7A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631" o:spid="_x0000_s1043" type="#_x0000_t202" style="position:absolute;left:0;text-align:left;margin-left:164.6pt;margin-top:172.45pt;width:92.45pt;height:39.6pt;z-index:20;mso-wrap-style:none;mso-position-horizontal-relative:page;mso-position-vertical-relative:page" stroked="f">
            <v:textbox style="mso-next-textbox:#_x0000_s35631" inset="0,0,0,0">
              <w:txbxContent>
                <w:p w:rsidR="000E7AAE" w:rsidRDefault="000E7AAE">
                  <w:pPr>
                    <w:pStyle w:val="OCRStyle6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0E7AAE" w:rsidRDefault="000E7AAE">
                  <w:pPr>
                    <w:pStyle w:val="OCRStyle6"/>
                    <w:ind w:left="27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2" o:spid="_x0000_s1044" type="#_x0000_t202" style="position:absolute;left:0;text-align:left;margin-left:281.05pt;margin-top:171.65pt;width:81.6pt;height:45.35pt;z-index:19;mso-wrap-style:none;mso-position-horizontal-relative:page;mso-position-vertical-relative:page" stroked="f">
            <v:textbox style="mso-next-textbox:#_x0000_s35632" inset="0,0,0,0">
              <w:txbxContent>
                <w:p w:rsidR="000E7AAE" w:rsidRDefault="000E7AAE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E7AAE" w:rsidRDefault="000E7AAE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3" o:spid="_x0000_s1045" type="#_x0000_t202" style="position:absolute;left:0;text-align:left;margin-left:460.05pt;margin-top:201.35pt;width:81.6pt;height:39.6pt;z-index:18;mso-wrap-style:none;mso-position-horizontal-relative:page;mso-position-vertical-relative:page" stroked="f">
            <v:textbox style="mso-next-textbox:#_x0000_s35633" inset="0,0,0,0">
              <w:txbxContent>
                <w:p w:rsidR="000E7AAE" w:rsidRDefault="000E7AAE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E7AAE" w:rsidRDefault="000E7AAE">
                  <w:pPr>
                    <w:pStyle w:val="OCRStyle6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34" o:spid="_x0000_s1046" type="#_x0000_t202" style="position:absolute;left:0;text-align:left;margin-left:95.3pt;margin-top:61pt;width:449.65pt;height:69.3pt;z-index:17;mso-wrap-style:none;mso-position-horizontal-relative:page;mso-position-vertical-relative:page" stroked="f">
            <v:textbox style="mso-next-textbox:#_x0000_s35634" inset="0,0,0,0">
              <w:txbxContent>
                <w:tbl>
                  <w:tblPr>
                    <w:tblW w:w="47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7037"/>
                  </w:tblGrid>
                  <w:tr w:rsidR="000E7AAE" w:rsidRPr="000E7AAE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0E7AAE" w:rsidRPr="000E7AAE" w:rsidRDefault="000E7A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תוקף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0E7AAE" w:rsidRDefault="000E7A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תקפו של חוק זה יפקע ביום כ"ח פסיון התשמי'ט (1 ביולי 1989).</w:t>
                        </w:r>
                      </w:p>
                      <w:p w:rsidR="000E7AAE" w:rsidRDefault="000E7A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פקע תקפו של חוק זה, ימשיכו הוראותיו לחול לגבי מי שביום הפקיעה נשא ענשו</w:t>
                        </w:r>
                      </w:p>
                      <w:p w:rsidR="000E7AAE" w:rsidRPr="000E7AAE" w:rsidRDefault="000E7AA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 שירות ולעניו אותו עונש.</w:t>
                        </w:r>
                      </w:p>
                    </w:tc>
                  </w:tr>
                </w:tbl>
                <w:p w:rsidR="000E7AAE" w:rsidRDefault="000E7AA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669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5904AF-86B6-4713-92FA-D6D7609A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69E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614F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431F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946D7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00612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0E7A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2008-04-07T02:44:00Z</dcterms:created>
  <dcterms:modified xsi:type="dcterms:W3CDTF">2008-04-07T02:45:00Z</dcterms:modified>
</cp:coreProperties>
</file>