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370" w:rsidRDefault="00653370">
      <w:pPr>
        <w:rPr>
          <w:rtl/>
        </w:rPr>
      </w:pPr>
    </w:p>
    <w:p w:rsidR="006533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36" inset="0,0,0,0">
              <w:txbxContent>
                <w:p w:rsidR="000F3C0E" w:rsidRDefault="000F3C0E">
                  <w:r>
                    <w:rPr>
                      <w:rtl/>
                    </w:rPr>
                    <w:t>128                                         ספר החוקים 1172                 א' באדר ב' התשמ"ו 12.03.1986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7" o:spid="_x0000_s1026" type="#_x0000_t202" style="position:absolute;left:0;text-align:left;margin-left:91.4pt;margin-top:632.7pt;width:408.85pt;height:105.95pt;z-index:3;mso-wrap-style:none;mso-position-horizontal-relative:page;mso-position-vertical-relative:page" stroked="f">
            <v:textbox style="mso-next-textbox:#_x0000_s35837" inset="0,0,0,0">
              <w:txbxContent>
                <w:p w:rsidR="000F3C0E" w:rsidRDefault="000F3C0E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*. נתקבל בכנסת ביום כ"ד באדר א' התשמ"ה (5 במרס 1985), הצעת החוק ודברי הסבר פורסמו בה"ח 1770,</w:t>
                  </w:r>
                </w:p>
                <w:p w:rsidR="000F3C0E" w:rsidRDefault="000F3C0E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התשמ"ו, עמ' 122</w:t>
                  </w:r>
                </w:p>
                <w:p w:rsidR="000F3C0E" w:rsidRDefault="000F3C0E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15</w:t>
                  </w:r>
                </w:p>
                <w:p w:rsidR="000F3C0E" w:rsidRDefault="000F3C0E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24</w:t>
                  </w:r>
                </w:p>
                <w:p w:rsidR="000F3C0E" w:rsidRPr="00653370" w:rsidRDefault="000F3C0E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3 ס"ח התשל"ה,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38" o:spid="_x0000_s1027" type="#_x0000_t202" style="position:absolute;left:0;text-align:left;margin-left:79.35pt;margin-top:109.2pt;width:481.35pt;height:518.35pt;z-index:2;mso-wrap-style:none;mso-position-horizontal-relative:page;mso-position-vertical-relative:page" stroked="f">
            <v:textbox style="mso-next-textbox:#_x0000_s35838" inset="0,0,0,0">
              <w:txbxContent>
                <w:tbl>
                  <w:tblPr>
                    <w:tblW w:w="51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6"/>
                    <w:gridCol w:w="1167"/>
                    <w:gridCol w:w="1428"/>
                  </w:tblGrid>
                  <w:tr w:rsidR="000F3C0E" w:rsidRPr="00653370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0F3C0E" w:rsidRDefault="000F3C0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33 לחוק הסדרים לשעת חירום במשק המדינה, התשמ"ו-1985  -1-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"י"ט בטבת התשמ"ו (31 בדצמבר 1985)" יבוא "כי באדר ב'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(31 במרס 1986)";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"שטרי כסף שינפיק בנק ישראל בתקופה שמיום כ' בטבת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(1 בינואר 1986) עד יום כ' באדר ב' התשמ"ו (31 במרס 1986)</w:t>
                        </w:r>
                      </w:p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ישאו את דמות חתימתו של נגיד בנק ישראל לבדו".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0F3C0E" w:rsidRPr="00653370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11 לחוק הפיקוח על מצרכים ושירותים, התשי"ח-21957, יבוא:</w:t>
                        </w:r>
                      </w:p>
                    </w:tc>
                    <w:tc>
                      <w:tcPr>
                        <w:tcW w:w="816" w:type="pct"/>
                        <w:vMerge w:val="restart"/>
                      </w:tcPr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</w:t>
                        </w:r>
                      </w:p>
                    </w:tc>
                  </w:tr>
                  <w:tr w:rsidR="000F3C0E">
                    <w:trPr>
                      <w:jc w:val="right"/>
                    </w:trPr>
                    <w:tc>
                      <w:tcPr>
                        <w:tcW w:w="3517" w:type="pct"/>
                      </w:tcPr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(א) שר רשאי להורות בצו לחברה ממשלתית או לחברה מעורבת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בחוק החברות הממשלתיות, התשל"ה-1975 3, או לחברת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של חברה כאמור, העוסקת או שנועדה לעסוק בענין שבו יש למדינה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כלכלי חיוני, כי תמשיך לפעול לפי הוראות השר; קביעתו של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כי חברה כאמור עוסקת בענין שבו יש למדינה ענין כלכלי חיוני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תהווה ראיה מכרעת על כך, והוראות סעיף 3 לא יחולו לענין סעיף זה.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שנתן צו לפי סעיף קטן (א) רשאי, בצו, למנות אדם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החברה או לפיקוח על הנהלתה (להלן - מפקח מיוחד), ורשאי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בצו לפרט את תפקידי הניהול והפיקוח.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מיוחד ינהל את החברה או יפקח עליה לפי הוראות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מהשר, וכל הנושא בתפקיו-י הנהלה בחברה חייב למלא אחרי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המפקח המיוחד; לא יורה מפקח מיוחד הוראה הסותרת כל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אלא במידה שהורשה לעשות כן בצו של השר.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מינויו של מפקח מיוחד לפי סעיף זה הוא לשלוש שנים אם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הורה השר בצו על תקופה קצרה יותר, ואולם השר רשאי להאריך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תוקף המינוי לתקופות נוספות שכל אחת מהן לא תעלה על שלוש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וכן רשאי הוא להחליף מפקחים מיוחדים.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חברה שחל עליה צו לפי סעיף קטן (א), לא יינקטו לגביה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של פירוק, כינוס נכסים, סעדים זמניים, הוצאה לפועל ואכיפה,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צו לפי סעיף קטן (א) לגבי חברה שלפני יום כ' בטבת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(1 בינואר 1986) מונה לה מפקח מורשה לפי סעיף 9 -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כתקפים את מינויו של המפקח המורשה ואת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שעשה, מיום מינויו עד יום מתן הצו האמור, על</w:t>
                        </w:r>
                      </w:p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כל פגם במינויו או בהמשך כהונתו;</w:t>
                        </w:r>
                      </w:p>
                    </w:tc>
                    <w:tc>
                      <w:tcPr>
                        <w:tcW w:w="667" w:type="pct"/>
                      </w:tcPr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"הפעלת חברה</w:t>
                        </w:r>
                      </w:p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יש למדינה</w:t>
                        </w:r>
                      </w:p>
                      <w:p w:rsidR="000F3C0E" w:rsidRPr="00653370" w:rsidRDefault="000F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כלכלי חיוני</w:t>
                        </w:r>
                      </w:p>
                    </w:tc>
                    <w:tc>
                      <w:tcPr>
                        <w:tcW w:w="816" w:type="pct"/>
                        <w:vMerge/>
                      </w:tcPr>
                      <w:p w:rsidR="000F3C0E" w:rsidRDefault="000F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F3C0E" w:rsidRDefault="000F3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39" o:spid="_x0000_s1028" type="#_x0000_t202" style="position:absolute;left:0;text-align:left;margin-left:112pt;margin-top:68.8pt;width:359.95pt;height:31.9pt;z-index:1;mso-wrap-style:none;mso-position-horizontal-relative:page;mso-position-vertical-relative:page" stroked="f">
            <v:textbox style="mso-next-textbox:#_x0000_s35839" inset="0,0,0,0">
              <w:txbxContent>
                <w:p w:rsidR="000F3C0E" w:rsidRPr="00653370" w:rsidRDefault="000F3C0E">
                  <w:pPr>
                    <w:pStyle w:val="OCRStyle1"/>
                    <w:ind w:left="28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הסדרים לשעת חירום במשק המדינה (תיקון), התשמ"ו-1986  *</w:t>
                  </w:r>
                </w:p>
              </w:txbxContent>
            </v:textbox>
            <w10:wrap anchorx="page" anchory="page"/>
          </v:shape>
        </w:pict>
      </w:r>
    </w:p>
    <w:p w:rsidR="000F3C0E" w:rsidRDefault="000F3C0E">
      <w:pPr>
        <w:rPr>
          <w:rtl/>
        </w:rPr>
      </w:pPr>
      <w:r>
        <w:rPr>
          <w:rtl/>
        </w:rPr>
        <w:br w:type="page"/>
      </w:r>
    </w:p>
    <w:p w:rsidR="000F3C0E" w:rsidRDefault="00000000">
      <w:pPr>
        <w:rPr>
          <w:rtl/>
        </w:rPr>
      </w:pPr>
      <w:r>
        <w:pict>
          <v:shape id="_x0000_s3584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840" inset="0,0,0,0">
              <w:txbxContent>
                <w:p w:rsidR="000F3C0E" w:rsidRDefault="000F3C0E">
                  <w:r>
                    <w:rPr>
                      <w:rtl/>
                    </w:rPr>
                    <w:t>129                                         ספר החוקים 1172                 א' באדר ב' התשמ"ו 12.03.1986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1" o:spid="_x0000_s1030" type="#_x0000_t202" style="position:absolute;left:0;text-align:left;margin-left:167.15pt;margin-top:158.6pt;width:110.1pt;height:48.9pt;z-index:8;mso-wrap-style:none;mso-position-horizontal-relative:page;mso-position-vertical-relative:page" stroked="f">
            <v:textbox style="mso-next-textbox:#_x0000_s35841" inset="0,0,0,0">
              <w:txbxContent>
                <w:p w:rsidR="000F3C0E" w:rsidRDefault="000F3C0E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0F3C0E" w:rsidRDefault="000F3C0E">
                  <w:pPr>
                    <w:pStyle w:val="OCRStyle2"/>
                    <w:ind w:left="6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2" o:spid="_x0000_s1031" type="#_x0000_t202" style="position:absolute;left:0;text-align:left;margin-left:304.8pt;margin-top:163.75pt;width:105.15pt;height:33.45pt;z-index:7;mso-wrap-style:none;mso-position-horizontal-relative:page;mso-position-vertical-relative:page" stroked="f">
            <v:textbox style="mso-next-textbox:#_x0000_s35842" inset="0,0,0,0">
              <w:txbxContent>
                <w:p w:rsidR="000F3C0E" w:rsidRDefault="000F3C0E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F3C0E" w:rsidRDefault="000F3C0E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3" o:spid="_x0000_s1032" type="#_x0000_t202" style="position:absolute;left:0;text-align:left;margin-left:439.2pt;margin-top:186.95pt;width:96.45pt;height:42.15pt;z-index:6;mso-wrap-style:none;mso-position-horizontal-relative:page;mso-position-vertical-relative:page" stroked="f">
            <v:textbox style="mso-next-textbox:#_x0000_s35843" inset="0,0,0,0">
              <w:txbxContent>
                <w:p w:rsidR="000F3C0E" w:rsidRDefault="000F3C0E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F3C0E" w:rsidRDefault="000F3C0E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4" o:spid="_x0000_s1033" type="#_x0000_t202" style="position:absolute;left:0;text-align:left;margin-left:97.25pt;margin-top:70.7pt;width:455.4pt;height:80pt;z-index:5;mso-wrap-style:none;mso-position-horizontal-relative:page;mso-position-vertical-relative:page" stroked="f">
            <v:textbox style="mso-next-textbox:#_x0000_s35844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138"/>
                  </w:tblGrid>
                  <w:tr w:rsidR="000F3C0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3C0E" w:rsidRDefault="000F3C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1" w:type="pct"/>
                      </w:tcPr>
                      <w:p w:rsidR="000F3C0E" w:rsidRDefault="000F3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המפקח המורשה כאילו מונה למפקח מיוחד</w:t>
                        </w:r>
                      </w:p>
                      <w:p w:rsidR="000F3C0E" w:rsidRDefault="000F3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 מיום מתן הצו."</w:t>
                        </w:r>
                      </w:p>
                    </w:tc>
                  </w:tr>
                  <w:tr w:rsidR="000F3C0E" w:rsidRPr="000F3C0E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0F3C0E" w:rsidRPr="000F3C0E" w:rsidRDefault="000F3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0F3C0E" w:rsidRPr="000F3C0E" w:rsidRDefault="000F3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כי בטבת התשמ"ו (1 בינואר 1986).</w:t>
                        </w:r>
                      </w:p>
                    </w:tc>
                  </w:tr>
                </w:tbl>
                <w:p w:rsidR="000F3C0E" w:rsidRDefault="000F3C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33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91DA32-5C3B-4590-BB9F-44C1FA45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337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F3C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2008-04-07T02:25:00Z</dcterms:created>
  <dcterms:modified xsi:type="dcterms:W3CDTF">2008-04-07T02:25:00Z</dcterms:modified>
</cp:coreProperties>
</file>