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30BE" w:rsidRDefault="000730BE">
      <w:pPr>
        <w:rPr>
          <w:rtl/>
        </w:rPr>
      </w:pPr>
    </w:p>
    <w:p w:rsidR="000730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953" inset="0,0,0,0">
              <w:txbxContent>
                <w:p w:rsidR="00D96E3C" w:rsidRDefault="00D96E3C">
                  <w:r>
                    <w:rPr>
                      <w:rtl/>
                    </w:rPr>
                    <w:t>164                                         ספר החוקים 1180                  כ"ז באייר התשמ"ו 05.06.1986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54" o:spid="_x0000_s1026" type="#_x0000_t202" style="position:absolute;left:0;text-align:left;margin-left:89.5pt;margin-top:661pt;width:407.3pt;height:83.55pt;z-index:3;mso-wrap-style:none;mso-position-horizontal-relative:page;mso-position-vertical-relative:page" stroked="f">
            <v:textbox style="mso-next-textbox:#_x0000_s35954" inset="0,0,0,0">
              <w:txbxContent>
                <w:p w:rsidR="00D96E3C" w:rsidRDefault="00D96E3C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באייר התשמ"ו (27 במאי 1986); הצעת החוק ודברי ההסבר פורסמו בה''ח 1778,</w:t>
                  </w:r>
                </w:p>
                <w:p w:rsidR="00D96E3C" w:rsidRDefault="00D96E3C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התשמ"ו, עמי 208.</w:t>
                  </w:r>
                </w:p>
                <w:p w:rsidR="00D96E3C" w:rsidRDefault="00D96E3C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1 ס"ח התשכ"א, עמ' 130.</w:t>
                  </w:r>
                </w:p>
                <w:p w:rsidR="00D96E3C" w:rsidRPr="000730BE" w:rsidRDefault="00D96E3C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2 ס"ח התשכ''ח, עמ' .164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55" o:spid="_x0000_s1027" type="#_x0000_t202" style="position:absolute;left:0;text-align:left;margin-left:95.4pt;margin-top:111.7pt;width:465.9pt;height:548.45pt;z-index:2;mso-wrap-style:none;mso-position-horizontal-relative:page;mso-position-vertical-relative:page" stroked="f">
            <v:textbox style="mso-next-textbox:#_x0000_s35955" inset="0,0,0,0">
              <w:txbxContent>
                <w:tbl>
                  <w:tblPr>
                    <w:tblW w:w="49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328"/>
                  </w:tblGrid>
                  <w:tr w:rsidR="00D96E3C" w:rsidRPr="000730BE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D96E3C" w:rsidRDefault="00D96E3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שטר תיקון מס' 2 של הזכיון שבתוספת לחוק זה, שנעשה בין המדינה לבין בעל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הזכיין הנקוב בו, רואים אותו כבר-תוקף לכל מטרותיו על אף האמור בכל דין.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ולתוספת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תיקון הזכיון שנעשה ביום כ"ב באדר בי התשמ"ו (2 באפריל 1986)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ישראל, המיוצגת על-ידי ממשלת ישראל, הפועלת באמצעות שר האוצר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התעשיה והמסחר מצד אחד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ים המלח בע"מ, חברה שנתאגדה לפי דיני ישראל ואשר משרדה הרשום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בבית האשלג, בבאר-שבע, מצד שני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מעיד בזה ומוצהר בזה לאמור: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שטר זה הוא תיקון מס' 2 לשטר הזכיון שנעשה בין הצדדים הני'ל ביום ט"ו בסיון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 (30 במאי 1961) 1, כפי שתוקן ביום כ"א בתמוז התשכ"ח (17 ביולי 1968)2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שטר הזכיון).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לשטר הזכיון, במקום "י"ד בניסן התשג"ט (31 במרס 1999)" יבוא "כ"ו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התש"ץ (31 במרס 2030)".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15 לשטר הזכיין, סעיפים קטנים (ד) ו- (ה) יסומנו (ה) ו- (ו) כסדרם,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ולפניהם יבוא: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בסעיף קטן (ג), החל בשנת הכספים המתחילה ב-1 באפריל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1999 יחולו הוראות אלה: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סכום המהווה מרכיב בחישוב סכום התמלוגים השנתי יהיה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צמוד; לענין זה -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"השער היציג הבסיסי" - השער היציג שפורסם לימים כמפורט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לענין מחיר מכירה של מוצר - יום קבלת מחיר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בידי בעל הזכיון;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הוצאה - יום ביצוע ההוצאה;</w:t>
                        </w:r>
                      </w:p>
                      <w:p w:rsidR="00D96E3C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"השער היציג החדש" - השער היציג שפורסם ליום השלישי</w:t>
                        </w:r>
                      </w:p>
                      <w:p w:rsidR="00D96E3C" w:rsidRPr="000730BE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התשלום בפועל של סכום התמלוגים השנתי.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D96E3C" w:rsidRPr="000730BE" w:rsidRDefault="00D96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הזכיון</w:t>
                        </w:r>
                      </w:p>
                    </w:tc>
                  </w:tr>
                </w:tbl>
                <w:p w:rsidR="00D96E3C" w:rsidRDefault="00D96E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56" o:spid="_x0000_s1028" type="#_x0000_t202" style="position:absolute;left:0;text-align:left;margin-left:151.45pt;margin-top:73.1pt;width:276.4pt;height:30.9pt;z-index:1;mso-wrap-style:none;mso-position-horizontal-relative:page;mso-position-vertical-relative:page" stroked="f">
            <v:textbox style="mso-next-textbox:#_x0000_s35956" inset="0,0,0,0">
              <w:txbxContent>
                <w:p w:rsidR="00D96E3C" w:rsidRPr="000730BE" w:rsidRDefault="00D96E3C">
                  <w:pPr>
                    <w:pStyle w:val="OCRStyle1"/>
                    <w:ind w:left="13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זכיון ים המלח (תיקון מס' 2), התשמ"ו- 1986*</w:t>
                  </w:r>
                </w:p>
              </w:txbxContent>
            </v:textbox>
            <w10:wrap anchorx="page" anchory="page"/>
          </v:shape>
        </w:pict>
      </w:r>
    </w:p>
    <w:p w:rsidR="00C32590" w:rsidRDefault="00C32590">
      <w:pPr>
        <w:rPr>
          <w:rtl/>
        </w:rPr>
      </w:pPr>
      <w:r>
        <w:rPr>
          <w:rtl/>
        </w:rPr>
        <w:br w:type="page"/>
      </w:r>
    </w:p>
    <w:p w:rsidR="00C32590" w:rsidRDefault="00000000">
      <w:pPr>
        <w:rPr>
          <w:rtl/>
        </w:rPr>
      </w:pPr>
      <w:r>
        <w:pict>
          <v:shape id="_x0000_s35957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957" inset="0,0,0,0">
              <w:txbxContent>
                <w:p w:rsidR="00D96E3C" w:rsidRDefault="00D96E3C">
                  <w:r>
                    <w:rPr>
                      <w:rtl/>
                    </w:rPr>
                    <w:t>165                                         ספר החוקים 1180                  כ"ז באייר התשמ"ו 05.06.1986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58" o:spid="_x0000_s1030" type="#_x0000_t202" style="position:absolute;left:0;text-align:left;margin-left:133.25pt;margin-top:76.95pt;width:414pt;height:665.5pt;z-index:5;mso-wrap-style:none;mso-position-horizontal-relative:page;mso-position-vertical-relative:page" stroked="f">
            <v:textbox style="mso-next-textbox:#_x0000_s35958" inset="0,0,0,0">
              <w:txbxContent>
                <w:p w:rsidR="00D96E3C" w:rsidRDefault="00D96E3C">
                  <w:pPr>
                    <w:pStyle w:val="OCRStyle2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(2) תוך מאה ועשרים ימים מתום כל אחד משלושת הרבעונים הראשונים</w:t>
                  </w:r>
                </w:p>
                <w:p w:rsidR="00D96E3C" w:rsidRDefault="00D96E3C">
                  <w:pPr>
                    <w:pStyle w:val="OCRStyle2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של השנה ישולם תשלום על חשבון התמלוגים (להלן - תשלום רבעוני)</w:t>
                  </w:r>
                </w:p>
                <w:p w:rsidR="00D96E3C" w:rsidRDefault="00D96E3C">
                  <w:pPr>
                    <w:pStyle w:val="OCRStyle2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בסכום השווה ל-75% מרבע סכום התמלוגים השנתי בעד השנה הקודמת;</w:t>
                  </w:r>
                </w:p>
                <w:p w:rsidR="00D96E3C" w:rsidRDefault="00D96E3C">
                  <w:pPr>
                    <w:pStyle w:val="OCRStyle2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כל תשלום רבעוני יהיה צמוד; לענין זה -</w:t>
                  </w:r>
                </w:p>
                <w:p w:rsidR="00D96E3C" w:rsidRDefault="00D96E3C">
                  <w:pPr>
                    <w:pStyle w:val="OCRStyle2"/>
                    <w:ind w:left="1922"/>
                    <w:rPr>
                      <w:rtl/>
                    </w:rPr>
                  </w:pPr>
                  <w:r>
                    <w:rPr>
                      <w:rtl/>
                    </w:rPr>
                    <w:t>"השער היציג הבסיסי" - השער היציג שפורסם ליום השלישי</w:t>
                  </w:r>
                </w:p>
                <w:p w:rsidR="00D96E3C" w:rsidRDefault="00D96E3C">
                  <w:pPr>
                    <w:pStyle w:val="OCRStyle2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שלפני יום התשלום בפועל של סכום התמלוגים השנתי בעד השנה</w:t>
                  </w:r>
                </w:p>
                <w:p w:rsidR="00D96E3C" w:rsidRDefault="00D96E3C">
                  <w:pPr>
                    <w:pStyle w:val="OCRStyle2"/>
                    <w:ind w:left="1930"/>
                    <w:rPr>
                      <w:rtl/>
                    </w:rPr>
                  </w:pPr>
                  <w:r>
                    <w:rPr>
                      <w:rtl/>
                    </w:rPr>
                    <w:t>הקודמת;</w:t>
                  </w:r>
                </w:p>
                <w:p w:rsidR="00D96E3C" w:rsidRDefault="00D96E3C">
                  <w:pPr>
                    <w:pStyle w:val="OCRStyle2"/>
                    <w:ind w:left="1926"/>
                    <w:rPr>
                      <w:rtl/>
                    </w:rPr>
                  </w:pPr>
                  <w:r>
                    <w:rPr>
                      <w:rtl/>
                    </w:rPr>
                    <w:t>"השער היציג החדש" - השער היציג שפורסם ליום השלישי</w:t>
                  </w:r>
                </w:p>
                <w:p w:rsidR="00D96E3C" w:rsidRDefault="00D96E3C">
                  <w:pPr>
                    <w:pStyle w:val="OCRStyle2"/>
                    <w:ind w:left="1922"/>
                    <w:rPr>
                      <w:rtl/>
                    </w:rPr>
                  </w:pPr>
                  <w:r>
                    <w:rPr>
                      <w:rtl/>
                    </w:rPr>
                    <w:t>שלפני יום התשלום בפועל של התשלום הרבעוני.</w:t>
                  </w:r>
                </w:p>
                <w:p w:rsidR="00D96E3C" w:rsidRDefault="00D96E3C">
                  <w:pPr>
                    <w:pStyle w:val="OCRStyle2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(3) מסכום התמלוגים השנתי שישולם כאמור בסעיף קטן (ג) יופחתו</w:t>
                  </w:r>
                </w:p>
                <w:p w:rsidR="00D96E3C" w:rsidRDefault="00D96E3C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התשלומים הרבעונים ששולמו בעד אותה שנה, כשהם צמודים; לענין</w:t>
                  </w:r>
                </w:p>
                <w:p w:rsidR="00D96E3C" w:rsidRDefault="00D96E3C">
                  <w:pPr>
                    <w:pStyle w:val="OCRStyle2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וה -</w:t>
                  </w:r>
                </w:p>
                <w:p w:rsidR="00D96E3C" w:rsidRDefault="00D96E3C">
                  <w:pPr>
                    <w:pStyle w:val="OCRStyle2"/>
                    <w:ind w:left="1937"/>
                    <w:rPr>
                      <w:rtl/>
                    </w:rPr>
                  </w:pPr>
                  <w:r>
                    <w:rPr>
                      <w:rtl/>
                    </w:rPr>
                    <w:t>"השער היציג הבסיסי" - השער היציג שפורסם ליום השלישי</w:t>
                  </w:r>
                </w:p>
                <w:p w:rsidR="00D96E3C" w:rsidRDefault="00D96E3C">
                  <w:pPr>
                    <w:pStyle w:val="OCRStyle2"/>
                    <w:ind w:left="1933"/>
                    <w:rPr>
                      <w:rtl/>
                    </w:rPr>
                  </w:pPr>
                  <w:r>
                    <w:rPr>
                      <w:rtl/>
                    </w:rPr>
                    <w:t>שלפני יום התשלום בפועל של התשלום הרבעוני;</w:t>
                  </w:r>
                </w:p>
                <w:p w:rsidR="00D96E3C" w:rsidRDefault="00D96E3C">
                  <w:pPr>
                    <w:pStyle w:val="OCRStyle2"/>
                    <w:ind w:left="1948"/>
                    <w:rPr>
                      <w:rtl/>
                    </w:rPr>
                  </w:pPr>
                  <w:r>
                    <w:rPr>
                      <w:rtl/>
                    </w:rPr>
                    <w:t>"השער היציג החדש" - השער היציג שפורסם ליום השלישי</w:t>
                  </w:r>
                </w:p>
                <w:p w:rsidR="00D96E3C" w:rsidRDefault="00D96E3C">
                  <w:pPr>
                    <w:pStyle w:val="OCRStyle2"/>
                    <w:ind w:left="1937"/>
                    <w:rPr>
                      <w:rtl/>
                    </w:rPr>
                  </w:pPr>
                  <w:r>
                    <w:rPr>
                      <w:rtl/>
                    </w:rPr>
                    <w:t>שלפני יום התשלום בפועל של סכום התמלוגים השנתי.</w:t>
                  </w:r>
                </w:p>
                <w:p w:rsidR="00D96E3C" w:rsidRDefault="00D96E3C">
                  <w:pPr>
                    <w:pStyle w:val="OCRStyle2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(4) אם יתברר כי הסכום של התשלומים הרבעוניים הצמודים בעד</w:t>
                  </w:r>
                </w:p>
                <w:p w:rsidR="00D96E3C" w:rsidRDefault="00D96E3C">
                  <w:pPr>
                    <w:pStyle w:val="OCRStyle2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אותה שנה כאמור בפסקה (3) עולה על סכום התמלוגים השנתי בעד</w:t>
                  </w:r>
                </w:p>
                <w:p w:rsidR="00D96E3C" w:rsidRDefault="00D96E3C">
                  <w:pPr>
                    <w:pStyle w:val="OCRStyle2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אותה שנה כמחושב בפסקה (1), ייזקף סכום העודף על חשבון התמלוגים</w:t>
                  </w:r>
                </w:p>
                <w:p w:rsidR="00D96E3C" w:rsidRDefault="00D96E3C">
                  <w:pPr>
                    <w:pStyle w:val="OCRStyle2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בשנה שלאחר מכן ויופחת כשהוא צמוד מן התשלום הרבעוני או</w:t>
                  </w:r>
                </w:p>
                <w:p w:rsidR="00D96E3C" w:rsidRDefault="00D96E3C">
                  <w:pPr>
                    <w:pStyle w:val="OCRStyle2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התשלומים הרבעוניים הבאים או מסכום התמלוגים השנתי בעד השנה</w:t>
                  </w:r>
                </w:p>
                <w:p w:rsidR="00D96E3C" w:rsidRDefault="00D96E3C">
                  <w:pPr>
                    <w:pStyle w:val="OCRStyle2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הבאה, לפי הענין; לענין זה -</w:t>
                  </w:r>
                </w:p>
                <w:p w:rsidR="00D96E3C" w:rsidRDefault="00D96E3C">
                  <w:pPr>
                    <w:pStyle w:val="OCRStyle2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"השער היציג הבסיסי" - השער היציג שפורסם ליום השלישי</w:t>
                  </w:r>
                </w:p>
                <w:p w:rsidR="00D96E3C" w:rsidRDefault="00D96E3C">
                  <w:pPr>
                    <w:pStyle w:val="OCRStyle2"/>
                    <w:ind w:left="1951"/>
                    <w:rPr>
                      <w:rtl/>
                    </w:rPr>
                  </w:pPr>
                  <w:r>
                    <w:rPr>
                      <w:rtl/>
                    </w:rPr>
                    <w:t>שלפני יום התשלום בפועל של סכום התמלוגים השנתי בעד אותה</w:t>
                  </w:r>
                </w:p>
                <w:p w:rsidR="00D96E3C" w:rsidRDefault="00D96E3C">
                  <w:pPr>
                    <w:pStyle w:val="OCRStyle2"/>
                    <w:ind w:left="1966"/>
                    <w:rPr>
                      <w:rtl/>
                    </w:rPr>
                  </w:pPr>
                  <w:r>
                    <w:rPr>
                      <w:rtl/>
                    </w:rPr>
                    <w:t>שנה שלגביה נוצר סכום העודף כאמור ;</w:t>
                  </w:r>
                </w:p>
                <w:p w:rsidR="00D96E3C" w:rsidRDefault="00D96E3C">
                  <w:pPr>
                    <w:pStyle w:val="OCRStyle2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"השער היציג החדש" - השער היציג שפורסם ליום השלישי</w:t>
                  </w:r>
                </w:p>
                <w:p w:rsidR="00D96E3C" w:rsidRDefault="00D96E3C">
                  <w:pPr>
                    <w:pStyle w:val="OCRStyle2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שלפני יום התשלום בפועל של הסכום שממנו מופחת העודף.</w:t>
                  </w:r>
                </w:p>
                <w:p w:rsidR="00D96E3C" w:rsidRDefault="00D96E3C">
                  <w:pPr>
                    <w:pStyle w:val="OCRStyle2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(5) החישוב של סכום הניכוי שיש לחשבו באחוזים כאמור בסעיפים</w:t>
                  </w:r>
                </w:p>
                <w:p w:rsidR="00D96E3C" w:rsidRDefault="00D96E3C">
                  <w:pPr>
                    <w:pStyle w:val="OCRStyle2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קטנים (א) (1) (וו) ו-(א) (2) (ווו) ייעשה על בסיס הסכום שיגיעו אליו</w:t>
                  </w:r>
                </w:p>
                <w:p w:rsidR="00D96E3C" w:rsidRDefault="00D96E3C">
                  <w:pPr>
                    <w:pStyle w:val="OCRStyle2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לאחר ניכוי סך כל ההוצאות הצמודות כאמור בפסקה (1) מסך כל מחירי</w:t>
                  </w:r>
                </w:p>
                <w:p w:rsidR="00D96E3C" w:rsidRDefault="00D96E3C">
                  <w:pPr>
                    <w:pStyle w:val="OCRStyle2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המכירה הצמודים כאמור בפסקה (1); החישוב של סכום הניכוי שיש</w:t>
                  </w:r>
                </w:p>
                <w:p w:rsidR="00D96E3C" w:rsidRDefault="00D96E3C">
                  <w:pPr>
                    <w:pStyle w:val="OCRStyle2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לחשבו באחוזים כאמור בסעיף קטן (א) (2) (ו) ייעשה על בסיס סך כל</w:t>
                  </w:r>
                </w:p>
                <w:p w:rsidR="00D96E3C" w:rsidRDefault="00D96E3C">
                  <w:pPr>
                    <w:pStyle w:val="OCRStyle2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ההוצאות האמורות בסעיף האמור כשהן צמודות כאמור בפסקה (1).</w:t>
                  </w:r>
                </w:p>
                <w:p w:rsidR="00D96E3C" w:rsidRDefault="00D96E3C">
                  <w:pPr>
                    <w:pStyle w:val="OCRStyle2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(6) בסעיף קטן זה -</w:t>
                  </w:r>
                </w:p>
                <w:p w:rsidR="00D96E3C" w:rsidRDefault="00D96E3C">
                  <w:pPr>
                    <w:pStyle w:val="OCRStyle2"/>
                    <w:ind w:left="1984"/>
                    <w:rPr>
                      <w:rtl/>
                    </w:rPr>
                  </w:pPr>
                  <w:r>
                    <w:rPr>
                      <w:rtl/>
                    </w:rPr>
                    <w:t>"צמוד" - צמוד לשער היציג, כך שאם יחול שינוי בשער היציג</w:t>
                  </w:r>
                </w:p>
                <w:p w:rsidR="00D96E3C" w:rsidRDefault="00D96E3C">
                  <w:pPr>
                    <w:pStyle w:val="OCRStyle2"/>
                    <w:ind w:left="1987"/>
                    <w:rPr>
                      <w:rtl/>
                    </w:rPr>
                  </w:pPr>
                  <w:r>
                    <w:rPr>
                      <w:rtl/>
                    </w:rPr>
                    <w:t>הבסיסי לעומת השער היציג החדש, יוגדל הסכום שמדובר בו או</w:t>
                  </w:r>
                </w:p>
                <w:p w:rsidR="00D96E3C" w:rsidRDefault="00D96E3C">
                  <w:pPr>
                    <w:pStyle w:val="OCRStyle2"/>
                    <w:ind w:left="1991"/>
                    <w:rPr>
                      <w:rtl/>
                    </w:rPr>
                  </w:pPr>
                  <w:r>
                    <w:rPr>
                      <w:rtl/>
                    </w:rPr>
                    <w:t>יוקטן לפי שיעור העלית או הירידה;</w:t>
                  </w:r>
                </w:p>
                <w:p w:rsidR="00D96E3C" w:rsidRDefault="00D96E3C">
                  <w:pPr>
                    <w:pStyle w:val="OCRStyle2"/>
                    <w:ind w:left="1991"/>
                    <w:rPr>
                      <w:rtl/>
                    </w:rPr>
                  </w:pPr>
                  <w:r>
                    <w:rPr>
                      <w:rtl/>
                    </w:rPr>
                    <w:t>"השער היציג" - השער היציג של הדולר של ארצות הברית של</w:t>
                  </w:r>
                </w:p>
                <w:p w:rsidR="00D96E3C" w:rsidRDefault="00D96E3C">
                  <w:pPr>
                    <w:pStyle w:val="OCRStyle2"/>
                    <w:ind w:left="1984"/>
                  </w:pPr>
                  <w:r>
                    <w:rPr>
                      <w:rtl/>
                    </w:rPr>
                    <w:t>אמריקה שפרסם בנק ישראל; בתקופה שבה אין בנק ישראל נוהג</w:t>
                  </w:r>
                </w:p>
              </w:txbxContent>
            </v:textbox>
            <w10:wrap anchorx="page" anchory="page"/>
          </v:shape>
        </w:pict>
      </w:r>
    </w:p>
    <w:p w:rsidR="00D96E3C" w:rsidRDefault="00D96E3C">
      <w:pPr>
        <w:rPr>
          <w:rtl/>
        </w:rPr>
      </w:pPr>
      <w:r>
        <w:rPr>
          <w:rtl/>
        </w:rPr>
        <w:br w:type="page"/>
      </w:r>
    </w:p>
    <w:p w:rsidR="00D96E3C" w:rsidRDefault="00000000">
      <w:pPr>
        <w:rPr>
          <w:rtl/>
        </w:rPr>
      </w:pPr>
      <w:r>
        <w:pict>
          <v:shape id="_x0000_s35959" o:spid="_x0000_s1031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5959" inset="0,0,0,0">
              <w:txbxContent>
                <w:p w:rsidR="00D96E3C" w:rsidRDefault="00D96E3C">
                  <w:r>
                    <w:rPr>
                      <w:rtl/>
                    </w:rPr>
                    <w:t>166                                         ספר החוקים 1180                  כ"ז באייר התשמ"ו 05.06.1986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60" o:spid="_x0000_s1032" type="#_x0000_t202" style="position:absolute;left:0;text-align:left;margin-left:97.45pt;margin-top:293.05pt;width:106.7pt;height:36.05pt;z-index:15;mso-wrap-style:none;mso-position-horizontal-relative:page;mso-position-vertical-relative:page" stroked="f">
            <v:textbox style="mso-next-textbox:#_x0000_s35960" inset="0,0,0,0">
              <w:txbxContent>
                <w:p w:rsidR="00D96E3C" w:rsidRDefault="00D96E3C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D96E3C" w:rsidRDefault="00D96E3C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61" o:spid="_x0000_s1033" type="#_x0000_t202" style="position:absolute;left:0;text-align:left;margin-left:227.35pt;margin-top:288.7pt;width:75.85pt;height:40.4pt;z-index:14;mso-wrap-style:none;mso-position-horizontal-relative:page;mso-position-vertical-relative:page" stroked="f">
            <v:textbox style="mso-next-textbox:#_x0000_s35961" inset="0,0,0,0">
              <w:txbxContent>
                <w:p w:rsidR="00D96E3C" w:rsidRDefault="00D96E3C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D96E3C" w:rsidRDefault="00D96E3C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62" o:spid="_x0000_s1034" type="#_x0000_t202" style="position:absolute;left:0;text-align:left;margin-left:390.1pt;margin-top:324.9pt;width:94.65pt;height:31.9pt;z-index:13;mso-wrap-style:none;mso-position-horizontal-relative:page;mso-position-vertical-relative:page" stroked="f">
            <v:textbox style="mso-next-textbox:#_x0000_s35962" inset="0,0,0,0">
              <w:txbxContent>
                <w:p w:rsidR="00D96E3C" w:rsidRDefault="00D96E3C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D96E3C" w:rsidRDefault="00D96E3C">
                  <w:pPr>
                    <w:pStyle w:val="OCRStyle3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63" o:spid="_x0000_s1035" type="#_x0000_t202" style="position:absolute;left:0;text-align:left;margin-left:326.35pt;margin-top:289.45pt;width:81.75pt;height:31.9pt;z-index:12;mso-wrap-style:none;mso-position-horizontal-relative:page;mso-position-vertical-relative:page" stroked="f">
            <v:textbox style="mso-next-textbox:#_x0000_s35963" inset="0,0,0,0">
              <w:txbxContent>
                <w:p w:rsidR="00D96E3C" w:rsidRDefault="00D96E3C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שמעון סרס</w:t>
                  </w:r>
                </w:p>
                <w:p w:rsidR="00D96E3C" w:rsidRDefault="00D96E3C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64" o:spid="_x0000_s1036" type="#_x0000_t202" style="position:absolute;left:0;text-align:left;margin-left:102.6pt;margin-top:255pt;width:157.6pt;height:20.8pt;z-index:11;mso-wrap-style:none;mso-position-horizontal-relative:page;mso-position-vertical-relative:page" stroked="f">
            <v:textbox style="mso-next-textbox:#_x0000_s35964" inset="0,0,0,0">
              <w:txbxContent>
                <w:p w:rsidR="00D96E3C" w:rsidRDefault="00D96E3C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בעד ובשם מפעלי ים המלח בע"מ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65" o:spid="_x0000_s1037" type="#_x0000_t202" style="position:absolute;left:0;text-align:left;margin-left:108.55pt;margin-top:231.05pt;width:145.55pt;height:23.15pt;z-index:10;mso-wrap-style:none;mso-position-horizontal-relative:page;mso-position-vertical-relative:page" stroked="f">
            <v:textbox style="mso-next-textbox:#_x0000_s35965" inset="0,0,0,0">
              <w:txbxContent>
                <w:p w:rsidR="00D96E3C" w:rsidRDefault="00D96E3C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יורם זיו                  אריה שחר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66" o:spid="_x0000_s1038" type="#_x0000_t202" style="position:absolute;left:0;text-align:left;margin-left:283.4pt;margin-top:228.5pt;width:112.85pt;height:45.55pt;z-index:9;mso-wrap-style:none;mso-position-horizontal-relative:page;mso-position-vertical-relative:page" stroked="f">
            <v:textbox style="mso-next-textbox:#_x0000_s35966" inset="0,0,0,0">
              <w:txbxContent>
                <w:p w:rsidR="00D96E3C" w:rsidRDefault="00D96E3C">
                  <w:pPr>
                    <w:pStyle w:val="OCRStyle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D96E3C" w:rsidRDefault="00D96E3C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67" o:spid="_x0000_s1039" type="#_x0000_t202" style="position:absolute;left:0;text-align:left;margin-left:408.1pt;margin-top:231.85pt;width:71.5pt;height:40.4pt;z-index:8;mso-wrap-style:none;mso-position-horizontal-relative:page;mso-position-vertical-relative:page" stroked="f">
            <v:textbox style="mso-next-textbox:#_x0000_s35967" inset="0,0,0,0">
              <w:txbxContent>
                <w:p w:rsidR="00D96E3C" w:rsidRDefault="00D96E3C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D96E3C" w:rsidRDefault="00D96E3C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68" o:spid="_x0000_s1040" type="#_x0000_t202" style="position:absolute;left:0;text-align:left;margin-left:99.25pt;margin-top:76.05pt;width:389.85pt;height:141.15pt;z-index:7;mso-wrap-style:none;mso-position-horizontal-relative:page;mso-position-vertical-relative:page" stroked="f">
            <v:textbox style="mso-next-textbox:#_x0000_s35968" inset="0,0,0,0">
              <w:txbxContent>
                <w:p w:rsidR="00D96E3C" w:rsidRDefault="00D96E3C">
                  <w:pPr>
                    <w:pStyle w:val="OCRStyle3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לסרסם שערים יציגים יקבע נגיד בנק ישראל מהו השער היציג</w:t>
                  </w:r>
                </w:p>
                <w:p w:rsidR="00D96E3C" w:rsidRDefault="00D96E3C">
                  <w:pPr>
                    <w:pStyle w:val="OCRStyle3"/>
                    <w:ind w:left="1901"/>
                    <w:rPr>
                      <w:rtl/>
                    </w:rPr>
                  </w:pPr>
                  <w:r>
                    <w:rPr>
                      <w:rtl/>
                    </w:rPr>
                    <w:t>לענין שטר זכיון זה;</w:t>
                  </w:r>
                </w:p>
                <w:p w:rsidR="00D96E3C" w:rsidRDefault="00D96E3C">
                  <w:pPr>
                    <w:pStyle w:val="OCRStyle3"/>
                    <w:ind w:left="1901"/>
                    <w:rPr>
                      <w:rtl/>
                    </w:rPr>
                  </w:pPr>
                  <w:r>
                    <w:rPr>
                      <w:rtl/>
                    </w:rPr>
                    <w:t>"רבעון" -- תקופה של שלושה חדשים המתחילה ב-1 באסריל,</w:t>
                  </w:r>
                </w:p>
                <w:p w:rsidR="00D96E3C" w:rsidRDefault="00D96E3C">
                  <w:pPr>
                    <w:pStyle w:val="OCRStyle3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ב-1 ביולי, ב-1 באוקטובר וב-1 בינואר."</w:t>
                  </w:r>
                </w:p>
                <w:p w:rsidR="00D96E3C" w:rsidRDefault="00D96E3C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4. תיקון שטר זכיון זה ייכנס לתקפו ביום תחילתו של החוק המאשר אותו.</w:t>
                  </w:r>
                </w:p>
                <w:p w:rsidR="00D96E3C" w:rsidRDefault="00D96E3C">
                  <w:pPr>
                    <w:pStyle w:val="OCRStyle3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ולראיה באז בזה הצדדים על החתום בחתימת ידם ובחותמת</w:t>
                  </w:r>
                </w:p>
                <w:p w:rsidR="00D96E3C" w:rsidRPr="00D96E3C" w:rsidRDefault="00D96E3C">
                  <w:pPr>
                    <w:pStyle w:val="OCRStyle3"/>
                    <w:ind w:left="2023"/>
                  </w:pPr>
                  <w:r>
                    <w:rPr>
                      <w:rtl/>
                    </w:rPr>
                    <w:t>ביום ובשנה הנזכרים בראשית שטר זח.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30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BEF391-C0A2-42A8-85A1-D3E0CF46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30B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3259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96E3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2008-04-07T02:27:00Z</dcterms:created>
  <dcterms:modified xsi:type="dcterms:W3CDTF">2008-04-07T02:28:00Z</dcterms:modified>
</cp:coreProperties>
</file>