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40B69" w:rsidRDefault="00A40B69">
      <w:pPr>
        <w:rPr>
          <w:rtl/>
        </w:rPr>
      </w:pPr>
    </w:p>
    <w:p w:rsidR="00A40B6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630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6308" inset="0,0,0,0">
              <w:txbxContent>
                <w:p w:rsidR="000F2DDE" w:rsidRDefault="000F2DDE">
                  <w:r>
                    <w:rPr>
                      <w:rtl/>
                    </w:rPr>
                    <w:t>243                                         ספר החוקים 1193                     ח' באב התשמ"ו 13.08.1986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309" o:spid="_x0000_s1026" type="#_x0000_t202" style="position:absolute;left:0;text-align:left;margin-left:164.25pt;margin-top:678.45pt;width:388.65pt;height:61.95pt;z-index:3;mso-wrap-style:none;mso-position-horizontal-relative:page;mso-position-vertical-relative:page" stroked="f">
            <v:textbox style="mso-next-textbox:#_x0000_s36309" inset="0,0,0,0">
              <w:txbxContent>
                <w:p w:rsidR="000F2DDE" w:rsidRDefault="000F2DDE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באב התשמ''ו (6 באוגוסט 1986); הצעת החוק ודברי הסבר סורסמו בה"ח 1713,</w:t>
                  </w:r>
                </w:p>
                <w:p w:rsidR="000F2DDE" w:rsidRPr="00A40B69" w:rsidRDefault="000F2DDE">
                  <w:pPr>
                    <w:pStyle w:val="OCRStyle1"/>
                    <w:ind w:left="461"/>
                  </w:pPr>
                  <w:r>
                    <w:rPr>
                      <w:rtl/>
                    </w:rPr>
                    <w:t>התשמ''ה, עמ' 94.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6310" o:spid="_x0000_s1027" type="#_x0000_t202" style="position:absolute;left:0;text-align:left;margin-left:115.55pt;margin-top:609.95pt;width:425.7pt;height:63.55pt;z-index:2;mso-wrap-style:none;mso-position-horizontal-relative:page;mso-position-vertical-relative:page" stroked="f">
            <v:textbox style="mso-next-textbox:#_x0000_s36310" inset="0,0,0,0">
              <w:txbxContent>
                <w:tbl>
                  <w:tblPr>
                    <w:tblW w:w="45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37"/>
                    <w:gridCol w:w="6902"/>
                  </w:tblGrid>
                  <w:tr w:rsidR="000F2DDE" w:rsidRPr="00A40B69">
                    <w:trPr>
                      <w:jc w:val="right"/>
                    </w:trPr>
                    <w:tc>
                      <w:tcPr>
                        <w:tcW w:w="541" w:type="pct"/>
                      </w:tcPr>
                      <w:p w:rsidR="000F2DDE" w:rsidRPr="00A40B69" w:rsidRDefault="000F2D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</w:t>
                        </w:r>
                      </w:p>
                    </w:tc>
                    <w:tc>
                      <w:tcPr>
                        <w:tcW w:w="4459" w:type="pct"/>
                      </w:tcPr>
                      <w:p w:rsidR="000F2DDE" w:rsidRDefault="000F2DDE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הממשלה תמנה מועצה לענין הנצחת זכרם של מי שנשאו את משרת נשיא המדינה</w:t>
                        </w:r>
                      </w:p>
                      <w:p w:rsidR="000F2DDE" w:rsidRDefault="000F2D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ראש הממשלה (להלן - המועצה); המועצה תמנה לא יותר מעשרים ואחד חברים</w:t>
                        </w:r>
                      </w:p>
                      <w:p w:rsidR="000F2DDE" w:rsidRDefault="000F2D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ותהיה מורכבת מנציגי הממשלה ואנשי ציבור; הממשלה תמנה אחד מנציגיה במועצה</w:t>
                        </w:r>
                      </w:p>
                      <w:p w:rsidR="000F2DDE" w:rsidRPr="00A40B69" w:rsidRDefault="000F2D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להיות יושב ראש.</w:t>
                        </w:r>
                      </w:p>
                    </w:tc>
                  </w:tr>
                </w:tbl>
                <w:p w:rsidR="000F2DDE" w:rsidRDefault="000F2DD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311" o:spid="_x0000_s1028" type="#_x0000_t202" style="position:absolute;left:0;text-align:left;margin-left:201.1pt;margin-top:551.55pt;width:311.45pt;height:47.5pt;z-index:1;mso-wrap-style:none;mso-position-horizontal-relative:page;mso-position-vertical-relative:page" stroked="f">
            <v:textbox style="mso-next-textbox:#_x0000_s36311" inset="0,0,0,0">
              <w:txbxContent>
                <w:p w:rsidR="000F2DDE" w:rsidRDefault="000F2DDE">
                  <w:pPr>
                    <w:pStyle w:val="OCRStyle1"/>
                    <w:ind w:left="414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הנצחת זכרם של נשיאי ישראל וראשי ממשלותיה,</w:t>
                  </w:r>
                </w:p>
                <w:p w:rsidR="000F2DDE" w:rsidRPr="00A40B69" w:rsidRDefault="000F2DDE">
                  <w:pPr>
                    <w:pStyle w:val="OCRStyle1"/>
                    <w:ind w:left="2117"/>
                    <w:rPr>
                      <w:sz w:val="26"/>
                      <w:szCs w:val="26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התשמ"ו-1986 ?</w:t>
                  </w:r>
                </w:p>
              </w:txbxContent>
            </v:textbox>
            <w10:wrap anchorx="page" anchory="page"/>
          </v:shape>
        </w:pict>
      </w:r>
    </w:p>
    <w:p w:rsidR="000F2DDE" w:rsidRDefault="000F2DDE">
      <w:pPr>
        <w:rPr>
          <w:rtl/>
        </w:rPr>
      </w:pPr>
      <w:r>
        <w:rPr>
          <w:rtl/>
        </w:rPr>
        <w:br w:type="page"/>
      </w:r>
    </w:p>
    <w:p w:rsidR="000F2DDE" w:rsidRDefault="00000000">
      <w:pPr>
        <w:rPr>
          <w:rtl/>
        </w:rPr>
      </w:pPr>
      <w:r>
        <w:pict>
          <v:shape id="_x0000_s36312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6312" inset="0,0,0,0">
              <w:txbxContent>
                <w:p w:rsidR="000F2DDE" w:rsidRDefault="000F2DDE">
                  <w:r>
                    <w:rPr>
                      <w:rtl/>
                    </w:rPr>
                    <w:t>244                                         ספר החוקים 1193                     ח' באב התשמ"ו 13.08.1986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313" o:spid="_x0000_s1030" type="#_x0000_t202" style="position:absolute;left:0;text-align:left;margin-left:93.45pt;margin-top:706.7pt;width:170.7pt;height:30.5pt;z-index:9;mso-wrap-style:none;mso-position-horizontal-relative:page;mso-position-vertical-relative:page" stroked="f">
            <v:textbox style="mso-next-textbox:#_x0000_s36313" inset="0,0,0,0">
              <w:txbxContent>
                <w:p w:rsidR="000F2DDE" w:rsidRDefault="000F2DD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6314" o:spid="_x0000_s1031" type="#_x0000_t202" style="position:absolute;left:0;text-align:left;margin-left:378pt;margin-top:674.4pt;width:104.95pt;height:21.6pt;z-index:8;mso-wrap-style:none;mso-position-horizontal-relative:page;mso-position-vertical-relative:page" stroked="f">
            <v:textbox style="mso-next-textbox:#_x0000_s36314" inset="0,0,0,0">
              <w:txbxContent>
                <w:p w:rsidR="000F2DDE" w:rsidRPr="000F2DDE" w:rsidRDefault="000F2DDE">
                  <w:pPr>
                    <w:pStyle w:val="OCRStyle2"/>
                    <w:ind w:left="241"/>
                  </w:pPr>
                  <w:r>
                    <w:rPr>
                      <w:rtl/>
                    </w:rPr>
                    <w:t>1 ס"ח התשט"ו, עמ' 14.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6315" o:spid="_x0000_s1032" type="#_x0000_t202" style="position:absolute;left:0;text-align:left;margin-left:126.5pt;margin-top:605.1pt;width:99.8pt;height:40.4pt;z-index:7;mso-wrap-style:none;mso-position-horizontal-relative:page;mso-position-vertical-relative:page" stroked="f">
            <v:textbox style="mso-next-textbox:#_x0000_s36315" inset="0,0,0,0">
              <w:txbxContent>
                <w:p w:rsidR="000F2DDE" w:rsidRDefault="000F2DDE">
                  <w:pPr>
                    <w:pStyle w:val="OCRStyle2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0F2DDE" w:rsidRDefault="000F2DDE">
                  <w:pPr>
                    <w:pStyle w:val="OCRStyle2"/>
                    <w:ind w:left="35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316" o:spid="_x0000_s1033" type="#_x0000_t202" style="position:absolute;left:0;text-align:left;margin-left:359pt;margin-top:624.9pt;width:90.9pt;height:42.15pt;z-index:6;mso-wrap-style:none;mso-position-horizontal-relative:page;mso-position-vertical-relative:page" stroked="f">
            <v:textbox style="mso-next-textbox:#_x0000_s36316" inset="0,0,0,0">
              <w:txbxContent>
                <w:p w:rsidR="000F2DDE" w:rsidRDefault="000F2DDE">
                  <w:pPr>
                    <w:pStyle w:val="OCRStyle2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0F2DDE" w:rsidRDefault="000F2DDE">
                  <w:pPr>
                    <w:pStyle w:val="OCRStyle2"/>
                    <w:ind w:left="34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317" o:spid="_x0000_s1034" type="#_x0000_t202" style="position:absolute;left:0;text-align:left;margin-left:89.3pt;margin-top:68.95pt;width:466.9pt;height:530.45pt;z-index:5;mso-wrap-style:none;mso-position-horizontal-relative:page;mso-position-vertical-relative:page" stroked="f">
            <v:textbox style="mso-next-textbox:#_x0000_s36317" inset="0,0,0,0">
              <w:txbxContent>
                <w:tbl>
                  <w:tblPr>
                    <w:tblW w:w="498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29"/>
                    <w:gridCol w:w="1260"/>
                  </w:tblGrid>
                  <w:tr w:rsidR="000F2DDE" w:rsidRPr="000F2DDE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0F2DDE" w:rsidRDefault="000F2D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תקופת כהונתו של חבר המועצה היא חמש שנים; ניתן למנותו מחדש.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0F2DDE" w:rsidRPr="000F2DDE" w:rsidRDefault="000F2D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כהונה</w:t>
                        </w:r>
                      </w:p>
                    </w:tc>
                  </w:tr>
                  <w:tr w:rsidR="000F2DDE" w:rsidRPr="000F2DDE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0F2DDE" w:rsidRPr="000F2DDE" w:rsidRDefault="000F2D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המועצה תקבע את נוהל דיוניה ככל שלא נקבע בחוק זה או בתקנות לפיו.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0F2DDE" w:rsidRPr="000F2DDE" w:rsidRDefault="000F2D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נוהל</w:t>
                        </w:r>
                      </w:p>
                    </w:tc>
                  </w:tr>
                  <w:tr w:rsidR="000F2DDE" w:rsidRPr="000F2DDE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0F2DDE" w:rsidRDefault="000F2D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המועצה תציע לממשלה, בין ביזמתה ובין לפי פניה מאת הממשלה, תכנית</w:t>
                        </w:r>
                      </w:p>
                      <w:p w:rsidR="000F2DDE" w:rsidRDefault="000F2D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להנצחת זכרו של כל מי שכיהן כנשיא המדינה או ראש הממשלה.</w:t>
                        </w:r>
                      </w:p>
                      <w:p w:rsidR="000F2DDE" w:rsidRDefault="000F2D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התכנית תפרט את פעולות ההנצחה שתבצע הממשלה ואת פעולות ההנצחה</w:t>
                        </w:r>
                      </w:p>
                      <w:p w:rsidR="000F2DDE" w:rsidRDefault="000F2D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שיבצעו גופים ציבוריים בתמיכת הממשלה, לרבות תמיכה במפעלים או מוסדות</w:t>
                        </w:r>
                      </w:p>
                      <w:p w:rsidR="000F2DDE" w:rsidRDefault="000F2D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הנושאים את שמו של הנפטר, הכל כפי שהמועצה תראה כהולם את הנצחת זכרו של</w:t>
                        </w:r>
                      </w:p>
                      <w:p w:rsidR="000F2DDE" w:rsidRDefault="000F2D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הנפטר, בשים לב לאישיותו, לפועלו ולשאר שיקולים הנוגעים לענין; התכנית תכלול</w:t>
                        </w:r>
                      </w:p>
                      <w:p w:rsidR="000F2DDE" w:rsidRDefault="000F2D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אומדן של ההוצאות הכרוכות בביצועה והצעת מקורות לכיסויין.</w:t>
                        </w:r>
                      </w:p>
                      <w:p w:rsidR="000F2DDE" w:rsidRDefault="000F2D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תכנית הנצחה טעונה אישור הממשלה.</w:t>
                        </w:r>
                      </w:p>
                      <w:p w:rsidR="000F2DDE" w:rsidRPr="000F2DDE" w:rsidRDefault="000F2D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ניתן לשנות תכנית הנצחה בדרך האמורה בסעיף זה לענין הכנתה ואישורה.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0F2DDE" w:rsidRPr="000F2DDE" w:rsidRDefault="000F2D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תכנית הנצחה</w:t>
                        </w:r>
                      </w:p>
                    </w:tc>
                  </w:tr>
                  <w:tr w:rsidR="000F2DDE" w:rsidRPr="000F2DDE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0F2DDE" w:rsidRDefault="000F2D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במסגרת הפעולות להנצחת זכרו של מי שכיהן כנשיא המדינה או כראש הממשלה,</w:t>
                        </w:r>
                      </w:p>
                      <w:p w:rsidR="000F2DDE" w:rsidRDefault="000F2D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הממשלה להורות לגנז שנתמנה לפי חוק הארכיונים, התשט"ו-1955 1, לעשות</w:t>
                        </w:r>
                      </w:p>
                      <w:p w:rsidR="000F2DDE" w:rsidRDefault="000F2D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הפעולות הבאות או מקצתן:</w:t>
                        </w:r>
                      </w:p>
                      <w:p w:rsidR="000F2DDE" w:rsidRDefault="000F2D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לכנס את החומר התיעודי על פעולותיו;</w:t>
                        </w:r>
                      </w:p>
                      <w:p w:rsidR="000F2DDE" w:rsidRDefault="000F2D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לפרסם את מבחר נאומיו, הרצאותיו וכתביו, במתכונת שיקבע הגנז</w:t>
                        </w:r>
                      </w:p>
                      <w:p w:rsidR="000F2DDE" w:rsidRDefault="000F2D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בהתייעצות עם המועצה, ובלבד שלגבי נכסים שאינם של המדינה לא</w:t>
                        </w:r>
                      </w:p>
                      <w:p w:rsidR="000F2DDE" w:rsidRDefault="000F2D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ייפגעו זכויותיהם של בני משפחת הנפטר או של אדם אחר;</w:t>
                        </w:r>
                      </w:p>
                      <w:p w:rsidR="000F2DDE" w:rsidRDefault="000F2D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לערוך, לפי המלצת המועצה, תצוגות פומביות של כתביו או חומר</w:t>
                        </w:r>
                      </w:p>
                      <w:p w:rsidR="000F2DDE" w:rsidRPr="000F2DDE" w:rsidRDefault="000F2D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תיעודי אחר המתייחס אליו, בין בגנזך המדינה ובין במקום ציבורי אחר.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0F2DDE" w:rsidRPr="000F2DDE" w:rsidRDefault="000F2D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הגנז</w:t>
                        </w:r>
                      </w:p>
                    </w:tc>
                  </w:tr>
                  <w:tr w:rsidR="000F2DDE" w:rsidRPr="000F2DDE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0F2DDE" w:rsidRDefault="000F2D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המועצה תפקח על ביצוע תכנית הנצחה ותדווח לממשלה על ממצאיה בצירוף</w:t>
                        </w:r>
                      </w:p>
                      <w:p w:rsidR="000F2DDE" w:rsidRDefault="000F2D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המלצותיה.</w:t>
                        </w:r>
                      </w:p>
                      <w:p w:rsidR="000F2DDE" w:rsidRDefault="000F2D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 רשאית לדרוש מכל מי שנטל חלק בביצוע פעולת הנצחה במימון</w:t>
                        </w:r>
                      </w:p>
                      <w:p w:rsidR="000F2DDE" w:rsidRDefault="000F2D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אוצר המדינה או בתמיכת הממשלה, שימסור לה או למי שהיא מינתה לכך כל ידיעה</w:t>
                        </w:r>
                      </w:p>
                      <w:p w:rsidR="000F2DDE" w:rsidRPr="000F2DDE" w:rsidRDefault="000F2D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מסמך הדרושים לה לצורך תפקידי הפיקוח לפי סעיף קטן (א).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0F2DDE" w:rsidRPr="000F2DDE" w:rsidRDefault="000F2D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פיקוח</w:t>
                        </w:r>
                      </w:p>
                    </w:tc>
                  </w:tr>
                  <w:tr w:rsidR="000F2DDE" w:rsidRPr="000F2DDE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0F2DDE" w:rsidRPr="000F2DDE" w:rsidRDefault="000F2D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חוק זה יחול על פעולות הנצחה אף שהחלו בהן לפני תחילתו.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0F2DDE" w:rsidRPr="000F2DDE" w:rsidRDefault="000F2D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  <w:tr w:rsidR="000F2DDE" w:rsidRPr="000F2DDE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0F2DDE" w:rsidRDefault="000F2D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הממשלה תמנה אחד משריה להיות ממונה על ביצוע חוק זה והוא יהיה רשאי,</w:t>
                        </w:r>
                      </w:p>
                      <w:p w:rsidR="000F2DDE" w:rsidRDefault="000F2D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ועדת החוקה, חוק ומשפט של הכנסת, להתקין תקנות בכל הנוגע לביצועו;</w:t>
                        </w:r>
                      </w:p>
                      <w:p w:rsidR="000F2DDE" w:rsidRPr="000F2DDE" w:rsidRDefault="000F2D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 המינוי תפורסם ברשומות.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0F2DDE" w:rsidRPr="000F2DDE" w:rsidRDefault="000F2D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0F2DDE" w:rsidRDefault="000F2DD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40B6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0B6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82FDDDB-C35D-4D92-8892-530EDEF59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40B69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0F2DD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2008-04-07T02:34:00Z</dcterms:created>
  <dcterms:modified xsi:type="dcterms:W3CDTF">2008-04-07T02:34:00Z</dcterms:modified>
</cp:coreProperties>
</file>