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31D25" w:rsidRDefault="00331D25">
      <w:pPr>
        <w:rPr>
          <w:rtl/>
        </w:rPr>
      </w:pPr>
    </w:p>
    <w:p w:rsidR="00331D2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6500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6500" inset="0,0,0,0">
              <w:txbxContent>
                <w:p w:rsidR="00331D25" w:rsidRDefault="00331D25">
                  <w:r>
                    <w:rPr>
                      <w:rtl/>
                    </w:rPr>
                    <w:t>24                                          ספר החוקים 1201                  ל' בכסליו התשמ"ז 01.01.1987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01" o:spid="_x0000_s1026" type="#_x0000_t202" style="position:absolute;left:0;text-align:left;margin-left:95.95pt;margin-top:712pt;width:170.85pt;height:28.9pt;z-index:7;mso-wrap-style:none;mso-position-horizontal-relative:page;mso-position-vertical-relative:page" stroked="f">
            <v:textbox style="mso-next-textbox:#_x0000_s36501" inset="0,0,0,0">
              <w:txbxContent>
                <w:p w:rsidR="00331D25" w:rsidRDefault="00331D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502" o:spid="_x0000_s1027" type="#_x0000_t202" style="position:absolute;left:0;text-align:left;margin-left:105.85pt;margin-top:562.7pt;width:372.85pt;height:50.3pt;z-index:6;mso-wrap-style:none;mso-position-horizontal-relative:page;mso-position-vertical-relative:page" stroked="f">
            <v:textbox style="mso-next-textbox:#_x0000_s36502" inset="0,0,0,0">
              <w:txbxContent>
                <w:p w:rsidR="00331D25" w:rsidRDefault="00331D25">
                  <w:pPr>
                    <w:pStyle w:val="OCRStyle1"/>
                    <w:ind w:left="4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כ''א בכסלו התשמ''ז (23 בדצמבר 1986); הצעת החוק ודברי הסבר פורסמו בה''ח 1792,</w:t>
                  </w:r>
                </w:p>
                <w:p w:rsidR="00331D25" w:rsidRDefault="00331D25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התשמ''ו, עמ' 286.</w:t>
                  </w:r>
                </w:p>
                <w:p w:rsidR="00331D25" w:rsidRPr="00331D25" w:rsidRDefault="00331D25">
                  <w:pPr>
                    <w:pStyle w:val="OCRStyle1"/>
                    <w:ind w:left="43"/>
                  </w:pPr>
                  <w:r>
                    <w:rPr>
                      <w:rtl/>
                    </w:rPr>
                    <w:t>1 ס''ח התש''ט, עמ' 37; התשמ''א, עמ' 272.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03" o:spid="_x0000_s1028" type="#_x0000_t202" style="position:absolute;left:0;text-align:left;margin-left:123.25pt;margin-top:489.25pt;width:86.55pt;height:40.4pt;z-index:5;mso-wrap-style:none;mso-position-horizontal-relative:page;mso-position-vertical-relative:page" stroked="f">
            <v:textbox style="mso-next-textbox:#_x0000_s36503" inset="0,0,0,0">
              <w:txbxContent>
                <w:p w:rsidR="00331D25" w:rsidRDefault="00331D25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יצחק פרץ</w:t>
                  </w:r>
                </w:p>
                <w:p w:rsidR="00331D25" w:rsidRDefault="00331D25">
                  <w:pPr>
                    <w:pStyle w:val="OCRStyle1"/>
                    <w:ind w:left="46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04" o:spid="_x0000_s1029" type="#_x0000_t202" style="position:absolute;left:0;text-align:left;margin-left:250.2pt;margin-top:494.2pt;width:82.55pt;height:37.05pt;z-index:4;mso-wrap-style:none;mso-position-horizontal-relative:page;mso-position-vertical-relative:page" stroked="f">
            <v:textbox style="mso-next-textbox:#_x0000_s36504" inset="0,0,0,0">
              <w:txbxContent>
                <w:p w:rsidR="00331D25" w:rsidRDefault="00331D25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31D25" w:rsidRDefault="00331D25">
                  <w:pPr>
                    <w:pStyle w:val="OCRStyle1"/>
                    <w:ind w:left="23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05" o:spid="_x0000_s1030" type="#_x0000_t202" style="position:absolute;left:0;text-align:left;margin-left:383.05pt;margin-top:520.55pt;width:78.4pt;height:34.65pt;z-index:3;mso-wrap-style:none;mso-position-horizontal-relative:page;mso-position-vertical-relative:page" stroked="f">
            <v:textbox style="mso-next-textbox:#_x0000_s36505" inset="0,0,0,0">
              <w:txbxContent>
                <w:p w:rsidR="00331D25" w:rsidRDefault="00331D25">
                  <w:pPr>
                    <w:pStyle w:val="OCRStyle1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31D25" w:rsidRDefault="00331D25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6506" o:spid="_x0000_s1031" type="#_x0000_t202" style="position:absolute;left:0;text-align:left;margin-left:90.2pt;margin-top:111.25pt;width:460.35pt;height:368.85pt;z-index:2;mso-wrap-style:none;mso-position-horizontal-relative:page;mso-position-vertical-relative:page" stroked="f">
            <v:textbox style="mso-next-textbox:#_x0000_s36506" inset="0,0,0,0">
              <w:txbxContent>
                <w:tbl>
                  <w:tblPr>
                    <w:tblW w:w="491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66"/>
                    <w:gridCol w:w="999"/>
                    <w:gridCol w:w="1205"/>
                  </w:tblGrid>
                  <w:tr w:rsidR="00331D25" w:rsidRPr="00331D25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331D25" w:rsidRP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אחרי סעיף 2 לחוק הדגל והסמל, התש"ט-1949  1 (להלן - החוק העיקרי), יבוא:</w:t>
                        </w:r>
                      </w:p>
                    </w:tc>
                    <w:tc>
                      <w:tcPr>
                        <w:tcW w:w="720" w:type="pct"/>
                      </w:tcPr>
                      <w:p w:rsidR="00331D25" w:rsidRP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2א</w:t>
                        </w:r>
                      </w:p>
                    </w:tc>
                  </w:tr>
                  <w:tr w:rsidR="00331D25">
                    <w:trPr>
                      <w:jc w:val="right"/>
                    </w:trPr>
                    <w:tc>
                      <w:tcPr>
                        <w:tcW w:w="3683" w:type="pct"/>
                      </w:tcPr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2א. (א) דגל המדינה יונף במקומות אלה:</w:t>
                        </w:r>
                      </w:p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המשרד הראשי של משרדי הממשלה ושל הרשויות</w:t>
                        </w:r>
                      </w:p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והתאגידים שהוקמו בחוק;</w:t>
                        </w:r>
                      </w:p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הבנין שבו נמצאת לשכתו של ראש רשות מקומית ;</w:t>
                        </w:r>
                      </w:p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על בנין המינהלה של המוסדות להשכלת גבוהה;</w:t>
                        </w:r>
                      </w:p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על בנייני ציבור אחרים ובנינים של תאגידים המספקים</w:t>
                        </w:r>
                      </w:p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לציבור, כפי שיקבע שר הפנים בתקנות, באישור</w:t>
                        </w:r>
                      </w:p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הפנים ואיכות הסביבה של הכנסת.</w:t>
                        </w:r>
                      </w:p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דגל המדינה יוצב בלשכות שרים ומנהלים כלליים של משרדי</w:t>
                        </w:r>
                      </w:p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הממשלה, באולמות בתי המשפט ובלשכות נושאי משרה אחרים בשירות</w:t>
                        </w:r>
                      </w:p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הציבורי, כפי שיקבע שר הפנים בתקנות, באישור ועדת הפנים ואיכות</w:t>
                        </w:r>
                      </w:p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הסביבה של הכנסת.</w:t>
                        </w:r>
                      </w:p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העובר על הוראות סעיף זה, דינו - מאסר שנה.</w:t>
                        </w:r>
                      </w:p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לביצוע ההנפה וההצגה בכל מקום מהמקומות המנויים בסעי-</w:t>
                        </w:r>
                      </w:p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פים קטנים (א) ו-(ב) יתמנו אחראים; נעברת עבירה על הוראות סעיף</w:t>
                        </w:r>
                      </w:p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ניתן להאשים בה גם אחראי שנתמנה כאמור.</w:t>
                        </w:r>
                      </w:p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נאשם אדם בעבירה על הוראות סעיף זה, תהא זו הגנת טובה</w:t>
                        </w:r>
                      </w:p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הוכיח כי נקט בכל האמצעים הסבירים לקיום ההוראות האמורות."</w:t>
                        </w:r>
                      </w:p>
                    </w:tc>
                    <w:tc>
                      <w:tcPr>
                        <w:tcW w:w="597" w:type="pct"/>
                      </w:tcPr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"חובת הנסת</w:t>
                        </w:r>
                      </w:p>
                      <w:p w:rsidR="00331D25" w:rsidRP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הדגל והצבתי</w:t>
                        </w:r>
                      </w:p>
                    </w:tc>
                    <w:tc>
                      <w:tcPr>
                        <w:tcW w:w="720" w:type="pct"/>
                      </w:tcPr>
                      <w:p w:rsid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31D25" w:rsidRPr="00331D25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331D25" w:rsidRP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6 לחוק העיקרי, פסקה (3) - תימחק.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331D25" w:rsidRP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6</w:t>
                        </w:r>
                      </w:p>
                    </w:tc>
                  </w:tr>
                  <w:tr w:rsidR="00331D25" w:rsidRPr="00331D25">
                    <w:trPr>
                      <w:jc w:val="right"/>
                    </w:trPr>
                    <w:tc>
                      <w:tcPr>
                        <w:tcW w:w="4280" w:type="pct"/>
                        <w:gridSpan w:val="2"/>
                      </w:tcPr>
                      <w:p w:rsidR="00331D25" w:rsidRP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בסעיף 7 לחוק העיקרי, במקום "סעיף 6" יבוא "סעיפים 2א ו-6".</w:t>
                        </w:r>
                      </w:p>
                    </w:tc>
                    <w:tc>
                      <w:tcPr>
                        <w:tcW w:w="720" w:type="pct"/>
                      </w:tcPr>
                      <w:p w:rsidR="00331D25" w:rsidRPr="00331D25" w:rsidRDefault="00331D2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7</w:t>
                        </w:r>
                      </w:p>
                    </w:tc>
                  </w:tr>
                </w:tbl>
                <w:p w:rsidR="00331D25" w:rsidRDefault="00331D2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6507" o:spid="_x0000_s1032" type="#_x0000_t202" style="position:absolute;left:0;text-align:left;margin-left:160.3pt;margin-top:79.2pt;width:260.75pt;height:30.5pt;z-index:1;mso-wrap-style:none;mso-position-horizontal-relative:page;mso-position-vertical-relative:page" stroked="f">
            <v:textbox style="mso-next-textbox:#_x0000_s36507" inset="0,0,0,0">
              <w:txbxContent>
                <w:p w:rsidR="00331D25" w:rsidRPr="00331D25" w:rsidRDefault="00331D25">
                  <w:pPr>
                    <w:pStyle w:val="OCRStyle1"/>
                    <w:ind w:left="24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הדגל והסמל (תיקון מס' 2), התשמ"ז-1986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31D2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3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75C3266-C2B9-4403-BBD9-EE5C844B0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31D2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2008-04-07T02:40:00Z</dcterms:created>
  <dcterms:modified xsi:type="dcterms:W3CDTF">2008-04-07T02:40:00Z</dcterms:modified>
</cp:coreProperties>
</file>