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F330D" w:rsidRDefault="00CF330D">
      <w:pPr>
        <w:rPr>
          <w:rtl/>
        </w:rPr>
      </w:pPr>
    </w:p>
    <w:p w:rsidR="00CF33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63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6639" inset="0,0,0,0">
              <w:txbxContent>
                <w:p w:rsidR="00685BA1" w:rsidRDefault="00685BA1">
                  <w:r>
                    <w:rPr>
                      <w:rtl/>
                    </w:rPr>
                    <w:t>62                                          ספר החוקים 1246                  י"ג בניסן התשמ"ח 31.03.1988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40" o:spid="_x0000_s1026" type="#_x0000_t202" style="position:absolute;left:0;text-align:left;margin-left:83.75pt;margin-top:671.4pt;width:393.6pt;height:36.25pt;z-index:3;mso-wrap-style:none;mso-position-horizontal-relative:page;mso-position-vertical-relative:page" stroked="f">
            <v:textbox style="mso-next-textbox:#_x0000_s36640" inset="0,0,0,0">
              <w:txbxContent>
                <w:tbl>
                  <w:tblPr>
                    <w:tblW w:w="41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8"/>
                  </w:tblGrid>
                  <w:tr w:rsidR="00685BA1" w:rsidRPr="00CF330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ביום ד' בניסן התשמ"ח (22 במרס 1988); הצעת החוק ודברי הסבר פורסמו בה"ח 1797, התשמ''ו, עמ'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303.</w:t>
                        </w:r>
                      </w:p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התשל"ז, עמ' 226: התשמ"ז, עמ' .80</w:t>
                        </w:r>
                      </w:p>
                    </w:tc>
                  </w:tr>
                </w:tbl>
                <w:p w:rsidR="00685BA1" w:rsidRDefault="00685B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41" o:spid="_x0000_s1027" type="#_x0000_t202" style="position:absolute;left:0;text-align:left;margin-left:85.35pt;margin-top:94.25pt;width:464.7pt;height:576.4pt;z-index:2;mso-wrap-style:none;mso-position-horizontal-relative:page;mso-position-vertical-relative:page" stroked="f">
            <v:textbox style="mso-next-textbox:#_x0000_s36641" inset="0,0,0,0">
              <w:txbxContent>
                <w:tbl>
                  <w:tblPr>
                    <w:tblW w:w="49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93"/>
                    <w:gridCol w:w="1300"/>
                    <w:gridCol w:w="1357"/>
                  </w:tblGrid>
                  <w:tr w:rsidR="00685BA1" w:rsidRPr="00CF330D">
                    <w:trPr>
                      <w:jc w:val="right"/>
                    </w:trPr>
                    <w:tc>
                      <w:tcPr>
                        <w:tcW w:w="4197" w:type="pct"/>
                        <w:gridSpan w:val="2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בפרק י' לחוק העונשין, התשל"ז-1977 1, במקום סימן ה' יבוא:</w:t>
                        </w:r>
                      </w:p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ה': עבירות מין</w:t>
                        </w:r>
                      </w:p>
                    </w:tc>
                    <w:tc>
                      <w:tcPr>
                        <w:tcW w:w="803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סימן</w:t>
                        </w:r>
                      </w:p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ה' בפרק י'</w:t>
                        </w:r>
                      </w:p>
                    </w:tc>
                  </w:tr>
                  <w:tr w:rsidR="00685BA1">
                    <w:trPr>
                      <w:jc w:val="right"/>
                    </w:trPr>
                    <w:tc>
                      <w:tcPr>
                        <w:tcW w:w="3428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345. (א) הבועל אשה -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שלא בהסכמתה החופשית עקב שימוש בכוח, גרימת סבל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גופני, הפעלת אמצעי לחץ אחרים או איום באחד מאלה, ואחת היא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נעשו אלה כלפי האשה או כלפי זולתה;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בהסכמת האשה, שהושגה במרמה לגבי מיהות העושה או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מהות המעשה;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כשהאשה היא קטינה שטרם מלאו לה ארבע עשרה שנים, אף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בהסכמתה? או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תוך ניצול מצב של חוסר הכרה בו שרויה האשה, מצב אחר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המונע ממנה התנגדות או היותה חולת נפש או לקויה בשכלה?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 הוא אונס ודינו - מאסר שש עשרה שנים.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דין האונס - מאסר עשרים שנים אם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האינוס נעשה באחת מנסיבות אלה: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בקטינה שטרם מלאו לה שש עשרה שנים ובנסיבות האמורות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(א10), (2) או (4)?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באיום בנשק חם או קר;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תוך גרימת חבלה גופנית או נפשית או הריון;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תוך התעללות באשה, לפני המעשה, בזמן המעשה או אחריו?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בנוכחות אחר או אחרים שחברו יחד עמו לביצוע האינוס בידי</w:t>
                        </w:r>
                      </w:p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או אחדים מהם.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אינוס</w:t>
                        </w:r>
                      </w:p>
                    </w:tc>
                    <w:tc>
                      <w:tcPr>
                        <w:tcW w:w="803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85BA1">
                    <w:trPr>
                      <w:jc w:val="right"/>
                    </w:trPr>
                    <w:tc>
                      <w:tcPr>
                        <w:tcW w:w="3428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346. (א) הבועל קטינה שמלאו לה ארבע עשרה שנים וטרם מלאו לה שש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שנים, והיא אינה נשואה לו, או הבועל קטינה שמלאו לה שש עשרה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וטרם מלאו לה שמונה עשרה שנים, תוך ניצול יחסי תלות, מרות, חינוך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השגחה, או תוך הבטחת שווא לנישואין, דינו - מאסר חמש שנים.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הבועל אשה שטרם מלאו לה עשרים ואחד שנים והיא צאצאו או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צאצא אשתו, דינו - מאסר שבע שנים.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הבועל אשה שמלאו לה שמונה עשרה שנים תוך ניצול מרות ביחסי</w:t>
                        </w:r>
                      </w:p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או בשירות או עקב הבטחת שווא לנישואין תוך התחזות כפנוי למרות</w:t>
                        </w:r>
                      </w:p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היותו נשוי, דינו - מאסר שלוש שנים.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בעילה אסורה</w:t>
                        </w:r>
                      </w:p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בהסכמה</w:t>
                        </w:r>
                      </w:p>
                    </w:tc>
                    <w:tc>
                      <w:tcPr>
                        <w:tcW w:w="803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685BA1">
                    <w:trPr>
                      <w:jc w:val="right"/>
                    </w:trPr>
                    <w:tc>
                      <w:tcPr>
                        <w:tcW w:w="3428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347. (א) העושה מעשה סדום באדם שמלאו לו ארבע עשרה שנים וטרם</w:t>
                        </w:r>
                      </w:p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לו שמונה עשרה שנים, דינו - מאסר חמש שנים.</w:t>
                        </w:r>
                      </w:p>
                    </w:tc>
                    <w:tc>
                      <w:tcPr>
                        <w:tcW w:w="769" w:type="pct"/>
                      </w:tcPr>
                      <w:p w:rsidR="00685BA1" w:rsidRPr="00CF330D" w:rsidRDefault="00685BA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סדום</w:t>
                        </w:r>
                      </w:p>
                    </w:tc>
                    <w:tc>
                      <w:tcPr>
                        <w:tcW w:w="803" w:type="pct"/>
                      </w:tcPr>
                      <w:p w:rsidR="00685BA1" w:rsidRDefault="00685BA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85BA1" w:rsidRDefault="00685B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642" o:spid="_x0000_s1028" type="#_x0000_t202" style="position:absolute;left:0;text-align:left;margin-left:129.1pt;margin-top:63.55pt;width:275.6pt;height:23.55pt;z-index:1;mso-wrap-style:none;mso-position-horizontal-relative:page;mso-position-vertical-relative:page" stroked="f">
            <v:textbox style="mso-next-textbox:#_x0000_s36642" inset="0,0,0,0">
              <w:txbxContent>
                <w:tbl>
                  <w:tblPr>
                    <w:tblW w:w="29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012"/>
                  </w:tblGrid>
                  <w:tr w:rsidR="00685BA1" w:rsidRPr="00CF330D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85BA1" w:rsidRPr="00CF330D" w:rsidRDefault="00685BA1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העונשין (תיקון מס' 22), התשמ"ח-1988*</w:t>
                        </w:r>
                      </w:p>
                    </w:tc>
                  </w:tr>
                </w:tbl>
                <w:p w:rsidR="00685BA1" w:rsidRDefault="00685BA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685BA1" w:rsidRDefault="00685BA1">
      <w:pPr>
        <w:rPr>
          <w:rtl/>
        </w:rPr>
      </w:pPr>
      <w:r>
        <w:rPr>
          <w:rtl/>
        </w:rPr>
        <w:br w:type="page"/>
      </w:r>
    </w:p>
    <w:p w:rsidR="00685BA1" w:rsidRDefault="00000000">
      <w:pPr>
        <w:rPr>
          <w:rtl/>
        </w:rPr>
      </w:pPr>
      <w:r>
        <w:pict>
          <v:shape id="_x0000_s36643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6643" inset="0,0,0,0">
              <w:txbxContent>
                <w:p w:rsidR="00685BA1" w:rsidRDefault="00685BA1">
                  <w:r>
                    <w:rPr>
                      <w:rtl/>
                    </w:rPr>
                    <w:t>63                                          ספר החוקים 1246                  י"ג בניסן התשמ"ח 31.03.1988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6644" o:spid="_x0000_s1030" type="#_x0000_t202" style="position:absolute;left:0;text-align:left;margin-left:442.25pt;margin-top:673.5pt;width:112.45pt;height:29.9pt;z-index:9;mso-wrap-style:none;mso-position-horizontal-relative:page;mso-position-vertical-relative:page" stroked="f">
            <v:textbox style="mso-next-textbox:#_x0000_s36644" inset="0,0,0,0">
              <w:txbxContent>
                <w:tbl>
                  <w:tblPr>
                    <w:tblW w:w="120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46"/>
                  </w:tblGrid>
                  <w:tr w:rsidR="00685BA1" w:rsidRPr="00685BA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ס"ח התשי"ח, עמ' 16.</w:t>
                        </w:r>
                      </w:p>
                    </w:tc>
                  </w:tr>
                </w:tbl>
                <w:p w:rsidR="00685BA1" w:rsidRDefault="00685B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645" o:spid="_x0000_s1031" type="#_x0000_t202" style="position:absolute;left:0;text-align:left;margin-left:187.85pt;margin-top:595.1pt;width:90.5pt;height:32.25pt;z-index:8;mso-wrap-style:none;mso-position-horizontal-relative:page;mso-position-vertical-relative:page" stroked="f">
            <v:textbox style="mso-next-textbox:#_x0000_s36645" inset="0,0,0,0">
              <w:txbxContent>
                <w:tbl>
                  <w:tblPr>
                    <w:tblW w:w="96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43"/>
                  </w:tblGrid>
                  <w:tr w:rsidR="00685BA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אברהם שריר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המשפטים</w:t>
                        </w:r>
                      </w:p>
                    </w:tc>
                  </w:tr>
                </w:tbl>
                <w:p w:rsidR="00685BA1" w:rsidRDefault="00685B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646" o:spid="_x0000_s1032" type="#_x0000_t202" style="position:absolute;left:0;text-align:left;margin-left:308.2pt;margin-top:590.35pt;width:87.3pt;height:41.2pt;z-index:7;mso-wrap-style:none;mso-position-horizontal-relative:page;mso-position-vertical-relative:page" stroked="f">
            <v:textbox style="mso-next-textbox:#_x0000_s36646" inset="0,0,0,0">
              <w:txbxContent>
                <w:tbl>
                  <w:tblPr>
                    <w:tblW w:w="9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89"/>
                  </w:tblGrid>
                  <w:tr w:rsidR="00685BA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685BA1" w:rsidRDefault="00685B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647" o:spid="_x0000_s1033" type="#_x0000_t202" style="position:absolute;left:0;text-align:left;margin-left:431.75pt;margin-top:620.2pt;width:93.85pt;height:43.55pt;z-index:6;mso-wrap-style:none;mso-position-horizontal-relative:page;mso-position-vertical-relative:page" stroked="f">
            <v:textbox style="mso-next-textbox:#_x0000_s36647" inset="0,0,0,0">
              <w:txbxContent>
                <w:tbl>
                  <w:tblPr>
                    <w:tblW w:w="10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06"/>
                  </w:tblGrid>
                  <w:tr w:rsidR="00685BA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685BA1" w:rsidRDefault="00685B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6648" o:spid="_x0000_s1034" type="#_x0000_t202" style="position:absolute;left:0;text-align:left;margin-left:98.95pt;margin-top:68.2pt;width:462.15pt;height:508.25pt;z-index:5;mso-wrap-style:none;mso-position-horizontal-relative:page;mso-position-vertical-relative:page" stroked="f">
            <v:textbox style="mso-next-textbox:#_x0000_s36648" inset="0,0,0,0">
              <w:txbxContent>
                <w:tbl>
                  <w:tblPr>
                    <w:tblW w:w="49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1"/>
                    <w:gridCol w:w="5728"/>
                    <w:gridCol w:w="1355"/>
                  </w:tblGrid>
                  <w:tr w:rsidR="00685BA1" w:rsidRPr="00685BA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מעשה סדום באדם באחת הנסיבות המנויות בסעיף 345,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המחריבים, דינו כדין אונס.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זה, "מעשה סדום" - החדרת איבר המין של גבר לנקב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מנקבי גופו של אדם שלא דרך בעילה.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348. (א) התוקף אדם או העושה תנועות מגונות המכוונות אליו, לשם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גירוי, סיפוק או ביזוי מיניים, דינו - מאסר שלוש שנים.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העושה מעשה כאמור בסעיף קטן (א), באדם שטרם מלאו לו שש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שנים, דינו - מאסר חמש שנים.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המחדיר חפץ לאיבר המין של אשה או לפי הטבעת של אדם, באחת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הנסיבות המנויות בסעיף 345, דינו כדין אונס.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תקיפה מינית</w:t>
                        </w:r>
                      </w:p>
                    </w:tc>
                  </w:tr>
                  <w:tr w:rsidR="00685BA1" w:rsidRPr="00685BA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349. העושה מעשה מגונה לשם גירוי, סיפוק או ביזוי מיניים, בפומבי, או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מקום אחר בפני אדם שטרם מלאו לו שש עשרה שנים, והמעשה אינו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מן המנויות בסעיפים 345 עד 348, דינו - מאסר שלוש שנים.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מגונה</w:t>
                        </w:r>
                      </w:p>
                    </w:tc>
                  </w:tr>
                  <w:tr w:rsidR="00685BA1" w:rsidRPr="00685BA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350. לענין עבירה לפי סימן זה, אחת היא אם העושה עשה את המעשה או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גרם שהמעשה ייעשה.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גרם מעשה</w:t>
                        </w:r>
                      </w:p>
                    </w:tc>
                  </w:tr>
                  <w:tr w:rsidR="00685BA1" w:rsidRPr="00685BA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351. נקבע עונש מינימום לעבירה לפי סימן זה, רשאי בית המשפט, בשל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מקלות מיוחדות שיירשמו, לגזור תקופת מאסר קצרה מתקופת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המינימום ובלבד שלא תפחת מרבע ממנה.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קיצור תקופת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מאסר מינימום</w:t>
                        </w:r>
                      </w:p>
                    </w:tc>
                  </w:tr>
                  <w:tr w:rsidR="00685BA1" w:rsidRPr="00685BA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352. (א) המפרסם ברבים שמו של אדם או של כל דבר שיש בו כדי לזהות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כמי שנפגע בעבירה לפי סימן זה, דינו - מאסר שנה.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ישא אדם באחריות פלילית לפי סעיף קטן (א) אם האדם ששמו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זהותו פורסמו כאמור נתן את הסכמתו לפרסום, בפני בית משפט.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</w:tc>
                  </w:tr>
                  <w:tr w:rsidR="00685BA1" w:rsidRPr="00685BA1">
                    <w:trPr>
                      <w:jc w:val="right"/>
                    </w:trPr>
                    <w:tc>
                      <w:tcPr>
                        <w:tcW w:w="78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353. באישום בשל עבירה לפי סעיף 346(א) תהיה זו הגנה לנאשם שהבדל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הגילים בינו לבין הקטינה אינו עולה על שנתיים, אם הקטינה הסכימה למעשה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המעשה נעשה במהלך יחסי רעות רגילים וללא ניצול מעמדו של הנאשם.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לאחריות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פלילית</w:t>
                        </w:r>
                      </w:p>
                    </w:tc>
                  </w:tr>
                  <w:tr w:rsidR="00685BA1">
                    <w:trPr>
                      <w:jc w:val="right"/>
                    </w:trPr>
                    <w:tc>
                      <w:tcPr>
                        <w:tcW w:w="786" w:type="pct"/>
                        <w:vMerge w:val="restar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החוק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לתיקון סדרי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(חקירת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עדים)</w:t>
                        </w:r>
                      </w:p>
                    </w:tc>
                    <w:tc>
                      <w:tcPr>
                        <w:tcW w:w="4214" w:type="pct"/>
                        <w:gridSpan w:val="2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בחוק לתיקון סדרי הדין (חקירת עדים), התשי"ח-21957, אחרי סעיף 2 יבוא:</w:t>
                        </w:r>
                      </w:p>
                    </w:tc>
                  </w:tr>
                  <w:tr w:rsidR="00685BA1" w:rsidRPr="00685BA1">
                    <w:trPr>
                      <w:jc w:val="right"/>
                    </w:trPr>
                    <w:tc>
                      <w:tcPr>
                        <w:tcW w:w="786" w:type="pct"/>
                        <w:vMerge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8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בית המשפט לא ירשה חקירה בדבר עברו המיני של הנפגע בעבירה לפי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סימן ה' של פרק י' לחוק העונשין, התשל"ז-1977, אלא אם כן ראה, מטעמים</w:t>
                        </w:r>
                      </w:p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שיירשמו, כי איסור החקירה עלול לגרום לנאשם עיוות דין."</w:t>
                        </w:r>
                      </w:p>
                    </w:tc>
                    <w:tc>
                      <w:tcPr>
                        <w:tcW w:w="806" w:type="pct"/>
                      </w:tcPr>
                      <w:p w:rsid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"חקירת נפגע</w:t>
                        </w:r>
                      </w:p>
                      <w:p w:rsidR="00685BA1" w:rsidRPr="00685BA1" w:rsidRDefault="00685BA1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בעבירת מין</w:t>
                        </w:r>
                      </w:p>
                    </w:tc>
                  </w:tr>
                </w:tbl>
                <w:p w:rsidR="00685BA1" w:rsidRDefault="00685BA1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F33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9F3705F-274C-404C-AF92-AF56D2AB4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F330D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85BA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2008-04-07T02:58:00Z</dcterms:created>
  <dcterms:modified xsi:type="dcterms:W3CDTF">2008-04-07T02:58:00Z</dcterms:modified>
</cp:coreProperties>
</file>