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2E4D" w:rsidRDefault="00B42E4D">
      <w:pPr>
        <w:rPr>
          <w:rtl/>
        </w:rPr>
      </w:pPr>
    </w:p>
    <w:p w:rsidR="00B42E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66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662" inset="0,0,0,0">
              <w:txbxContent>
                <w:p w:rsidR="00B42E4D" w:rsidRDefault="00B42E4D">
                  <w:r>
                    <w:rPr>
                      <w:rtl/>
                    </w:rPr>
                    <w:t>26                                          ספר החוקים 1235                   י"ז בשבט התשמ"ח 05.02.1988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63" o:spid="_x0000_s1026" type="#_x0000_t202" style="position:absolute;left:0;text-align:left;margin-left:87.1pt;margin-top:659.9pt;width:398.55pt;height:52.25pt;z-index:6;mso-wrap-style:none;mso-position-horizontal-relative:page;mso-position-vertical-relative:page" stroked="f">
            <v:textbox style="mso-next-textbox:#_x0000_s36663" inset="0,0,0,0">
              <w:txbxContent>
                <w:tbl>
                  <w:tblPr>
                    <w:tblW w:w="42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</w:tblGrid>
                  <w:tr w:rsidR="00B42E4D" w:rsidRPr="00B42E4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בשבט התשמ"ח (27 בינואר 1988); הצעת החוק ודברי הסבר פורסמו בה"ח 1826,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התשמ''ז, עמ' 215.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התשמ''ו, עמ' 107.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ס''ח התשי"ט, עמ' .276</w:t>
                        </w:r>
                      </w:p>
                      <w:p w:rsidR="00B42E4D" w:rsidRP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התש"י, עמ' .162</w:t>
                        </w:r>
                      </w:p>
                    </w:tc>
                  </w:tr>
                </w:tbl>
                <w:p w:rsidR="00B42E4D" w:rsidRDefault="00B42E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64" o:spid="_x0000_s1027" type="#_x0000_t202" style="position:absolute;left:0;text-align:left;margin-left:119.75pt;margin-top:595.55pt;width:105.15pt;height:40pt;z-index:5;mso-wrap-style:none;mso-position-horizontal-relative:page;mso-position-vertical-relative:page" stroked="f">
            <v:textbox style="mso-next-textbox:#_x0000_s36664" inset="0,0,0,0">
              <w:txbxContent>
                <w:tbl>
                  <w:tblPr>
                    <w:tblW w:w="1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3"/>
                  </w:tblGrid>
                  <w:tr w:rsidR="00B42E4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</w:t>
                        </w:r>
                      </w:p>
                    </w:tc>
                  </w:tr>
                </w:tbl>
                <w:p w:rsidR="00B42E4D" w:rsidRDefault="00B42E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65" o:spid="_x0000_s1028" type="#_x0000_t202" style="position:absolute;left:0;text-align:left;margin-left:246.85pt;margin-top:595.55pt;width:92.85pt;height:33.45pt;z-index:4;mso-wrap-style:none;mso-position-horizontal-relative:page;mso-position-vertical-relative:page" stroked="f">
            <v:textbox style="mso-next-textbox:#_x0000_s36665" inset="0,0,0,0">
              <w:txbxContent>
                <w:tbl>
                  <w:tblPr>
                    <w:tblW w:w="9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6"/>
                  </w:tblGrid>
                  <w:tr w:rsidR="00B42E4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42E4D" w:rsidRDefault="00B42E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66" o:spid="_x0000_s1029" type="#_x0000_t202" style="position:absolute;left:0;text-align:left;margin-left:374pt;margin-top:617.55pt;width:98.6pt;height:42.15pt;z-index:3;mso-wrap-style:none;mso-position-horizontal-relative:page;mso-position-vertical-relative:page" stroked="f">
            <v:textbox style="mso-next-textbox:#_x0000_s36666" inset="0,0,0,0">
              <w:txbxContent>
                <w:tbl>
                  <w:tblPr>
                    <w:tblW w:w="1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3"/>
                  </w:tblGrid>
                  <w:tr w:rsidR="00B42E4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42E4D" w:rsidRDefault="00B42E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67" o:spid="_x0000_s1030" type="#_x0000_t202" style="position:absolute;left:0;text-align:left;margin-left:84.7pt;margin-top:323.5pt;width:480.75pt;height:267.3pt;z-index:2;mso-wrap-style:none;mso-position-horizontal-relative:page;mso-position-vertical-relative:page" stroked="f">
            <v:textbox style="mso-next-textbox:#_x0000_s36667" inset="0,0,0,0">
              <w:txbxContent>
                <w:tbl>
                  <w:tblPr>
                    <w:tblW w:w="51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5"/>
                    <w:gridCol w:w="1274"/>
                  </w:tblGrid>
                  <w:tr w:rsidR="00B42E4D" w:rsidRPr="00B42E4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 חייל בשירות סדיר כמשמעותו בחוק שירות בטחון [נוסח משולב], התשמ"ו-</w:t>
                        </w:r>
                      </w:p>
                      <w:p w:rsidR="00B42E4D" w:rsidRP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 1, למעט בשירות קבע.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B42E4D" w:rsidRP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B42E4D" w:rsidRPr="00B42E4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חוק הנכים (תגמולים ושיקום), התשי"ט-1959 [נוסח משולב]2 (להלן -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הנכים), יחול גם לגבי חייל שנחבל כתוצאה מחבלה שאירעה בתקופת שירותו,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שלא עקב שירותו, ובלבד שנתקיימו שלושה אלה: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החבלה אירעה בעת שהחייל לא נעדר מן השירות שלא ברשות;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החבלה אירעה בעת שהחייל לא מילא תפקיד בשירות, היא אירעה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תקופה של ארבעה-עשר הימים הראשונים שבהם לא מילא תפקיד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בשירות;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כתוצאה מהחבלה נקבעה לו על ידי ועדה רפואית לפי חוק הנכים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 של 20% לפחות וכל עוד דרגת הנכות לא פחתה מ-20%.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משפחות חיילים שנספו במערכה (תגמולים ושיקום), התש"י-1950 3,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לגבי בני משפחתו של חייל שמת כתוצאה מחבלה שנחבל בנסיבות כאמור בסעיף</w:t>
                        </w:r>
                      </w:p>
                      <w:p w:rsidR="00B42E4D" w:rsidRP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(1) ו-(2).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חבלה</w:t>
                        </w:r>
                      </w:p>
                      <w:p w:rsid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בעת</w:t>
                        </w:r>
                      </w:p>
                      <w:p w:rsidR="00B42E4D" w:rsidRP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</w:t>
                        </w:r>
                      </w:p>
                    </w:tc>
                  </w:tr>
                  <w:tr w:rsidR="00B42E4D" w:rsidRPr="00B42E4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B42E4D" w:rsidRP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יחול לגבי חבלה שאירעה לאחר פרסומו.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B42E4D" w:rsidRPr="00B42E4D" w:rsidRDefault="00B42E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B42E4D" w:rsidRDefault="00B42E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68" o:spid="_x0000_s1031" type="#_x0000_t202" style="position:absolute;left:0;text-align:left;margin-left:122.15pt;margin-top:270.45pt;width:350.45pt;height:44.95pt;z-index:1;mso-wrap-style:none;mso-position-horizontal-relative:page;mso-position-vertical-relative:page" stroked="f">
            <v:textbox style="mso-next-textbox:#_x0000_s36668" inset="0,0,0,0">
              <w:txbxContent>
                <w:tbl>
                  <w:tblPr>
                    <w:tblW w:w="37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72"/>
                  </w:tblGrid>
                  <w:tr w:rsidR="00B42E4D" w:rsidRPr="00B42E4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2E4D" w:rsidRDefault="00B42E4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חוק תגמולים לחיילים ולבני משפחותיהם (חבלה שלא בעת</w:t>
                        </w:r>
                      </w:p>
                      <w:p w:rsidR="00B42E4D" w:rsidRPr="00B42E4D" w:rsidRDefault="00B42E4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מילוי תפקיד), התשמ"ח-1988 *</w:t>
                        </w:r>
                      </w:p>
                    </w:tc>
                  </w:tr>
                </w:tbl>
                <w:p w:rsidR="00B42E4D" w:rsidRDefault="00B42E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2E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E1BB1E-5F08-4CDF-8F38-2CBA4E40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2E4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2008-04-07T02:55:00Z</dcterms:created>
  <dcterms:modified xsi:type="dcterms:W3CDTF">2008-04-07T02:56:00Z</dcterms:modified>
</cp:coreProperties>
</file>