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370E" w:rsidRDefault="0058370E">
      <w:pPr>
        <w:rPr>
          <w:rtl/>
        </w:rPr>
      </w:pPr>
    </w:p>
    <w:p w:rsidR="005837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715" inset="0,0,0,0">
              <w:txbxContent>
                <w:p w:rsidR="003F5690" w:rsidRDefault="003F5690">
                  <w:r>
                    <w:rPr>
                      <w:rtl/>
                    </w:rPr>
                    <w:t>38                                          ספר החוקים 1240                   י"ד באדר התשמ"ח 03.03.1988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16" o:spid="_x0000_s1026" type="#_x0000_t202" style="position:absolute;left:0;text-align:left;margin-left:94.15pt;margin-top:666.2pt;width:385.5pt;height:44.55pt;z-index:3;mso-wrap-style:none;mso-position-horizontal-relative:page;mso-position-vertical-relative:page" stroked="f">
            <v:textbox style="mso-next-textbox:#_x0000_s36716" inset="0,0,0,0">
              <w:txbxContent>
                <w:tbl>
                  <w:tblPr>
                    <w:tblW w:w="41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</w:tblGrid>
                  <w:tr w:rsidR="003F5690" w:rsidRPr="005837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ה' באדר התשמ"ח (23 בפברואר 1988) ; הצעות החוק ודברי הסבר פורסמו בה"ח 1804,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התשמ"ז, עמ' 64, ובה"ח 1848, התשמ"ז, עמ' 324.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התשי"ז, עמ' 63.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17" o:spid="_x0000_s1027" type="#_x0000_t202" style="position:absolute;left:0;text-align:left;margin-left:86pt;margin-top:102.9pt;width:477.75pt;height:560.15pt;z-index:2;mso-wrap-style:none;mso-position-horizontal-relative:page;mso-position-vertical-relative:page" stroked="f">
            <v:textbox style="mso-next-textbox:#_x0000_s36717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440"/>
                  </w:tblGrid>
                  <w:tr w:rsidR="003F5690" w:rsidRPr="0058370E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- כמשמעותו בחוק הסכמים קיבוציים, התשי"ז-1957 1, לרבות צו הרחבה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האמור ולרבות הסדר קיבוצי;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3F5690" w:rsidRPr="0058370E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יפלה מעביד בין עובדיו או בין דורשי עבודה מחמת מינם, מחמת היותם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נשואים, או מחמת היותם הורים, בכל אחד מאלה :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קבלה לעבודה;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עבודה;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קידום בעבודה;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הכשרה או השתלמות מקצועית;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פיטורים או פיצויי פיטורים..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רואים בהפליה גם קביעת תנאים שלא ממין העניו.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רואים הפליה לפי סעיף זה כאשר היא מתחייבת מאפיים או ממהותם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התפקיד או המשרה.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הפליה</w:t>
                        </w:r>
                      </w:p>
                    </w:tc>
                  </w:tr>
                  <w:tr w:rsidR="003F5690" w:rsidRPr="0058370E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הוראה שנקבעה בחיקוק, בהסכם קיבוצי או בחוזה עבודה בקשר להריון,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הריון, ללידה, להנקה או לפוריות, אין בה הפליה.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בחוק זה כדי לגרוע מזכות יתר המוענקת לעובדת לפי חיקוק, לפי הסכם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או לפי חוזה עבודה, ואין רואים זכות כזו מהפליה.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3F5690" w:rsidRPr="0058370E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זכאית עובדת בהתאם לתנאי העבודה הנהוגים במקום עבודתה, להעדר מהעבודה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מחלת ילדה, תהא זכות זו נתונה גם לעובד המועסק במקום עבודה שבו נהוגים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עבודה כאמור, אם נתקיים בו אחד מאלה: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 זוגו היא עובדת ולא נעדרה מעבודתה מכוח זכאותה כאמור;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הילד נמצא בהחזקתו והבלעדית.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הורה</w:t>
                        </w:r>
                      </w:p>
                    </w:tc>
                  </w:tr>
                  <w:tr w:rsidR="003F5690" w:rsidRPr="0058370E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לשם תיקון הפליה האסורה לפי סעיף 2 (א) (2), לא יהא מעביד רשאי  לגרוע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מזכויותיו של עובד אחר או לשנות את מצבו לרעה.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הרעת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</w:t>
                        </w:r>
                      </w:p>
                    </w:tc>
                  </w:tr>
                  <w:tr w:rsidR="003F5690" w:rsidRPr="0058370E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יפגע מעביד בעובד בעניינים המנויים בסעיף 2 מחמת תלונה או תביעה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לענין חוק זה או מחמת שסייע לעובד אחר בקשר לתלונה או לתביעה לפי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במשפט פלילי או אזרחי בשל הפרת סעיף קטן (א) תהא זו הגנה אם פעולת</w:t>
                        </w:r>
                      </w:p>
                      <w:p w:rsidR="003F5690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ננקטה בשל תלונת שוא או סיוע לגבי תלונת שוא שנעשו בזדון ובידיעה</w:t>
                        </w:r>
                      </w:p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שהתלונה היא תלונת שוא.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F5690" w:rsidRPr="0058370E" w:rsidRDefault="003F5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מתלונן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18" o:spid="_x0000_s1028" type="#_x0000_t202" style="position:absolute;left:0;text-align:left;margin-left:126.6pt;margin-top:56.95pt;width:312.65pt;height:39.6pt;z-index:1;mso-wrap-style:none;mso-position-horizontal-relative:page;mso-position-vertical-relative:page" stroked="f">
            <v:textbox style="mso-next-textbox:#_x0000_s36718" inset="0,0,0,0">
              <w:txbxContent>
                <w:tbl>
                  <w:tblPr>
                    <w:tblW w:w="33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3"/>
                  </w:tblGrid>
                  <w:tr w:rsidR="003F5690" w:rsidRPr="005837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Pr="0058370E" w:rsidRDefault="003F569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שוויון ההזדמנויות בעבודה, התשמ"ח-1988 *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023022" w:rsidRDefault="00023022">
      <w:pPr>
        <w:rPr>
          <w:rtl/>
        </w:rPr>
      </w:pPr>
      <w:r>
        <w:rPr>
          <w:rtl/>
        </w:rPr>
        <w:br w:type="page"/>
      </w:r>
    </w:p>
    <w:p w:rsidR="00023022" w:rsidRDefault="00000000">
      <w:pPr>
        <w:rPr>
          <w:rtl/>
        </w:rPr>
      </w:pPr>
      <w:r>
        <w:pict>
          <v:shape id="_x0000_s367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719" inset="0,0,0,0">
              <w:txbxContent>
                <w:p w:rsidR="003F5690" w:rsidRDefault="003F5690">
                  <w:r>
                    <w:rPr>
                      <w:rtl/>
                    </w:rPr>
                    <w:t>39                                          ספר החוקים 1240                   י"ד באדר התשמ"ח 03.03.1988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20" o:spid="_x0000_s1030" type="#_x0000_t202" style="position:absolute;left:0;text-align:left;margin-left:444.4pt;margin-top:694.45pt;width:109.9pt;height:34.05pt;z-index:6;mso-wrap-style:none;mso-position-horizontal-relative:page;mso-position-vertical-relative:page" stroked="f">
            <v:textbox style="mso-next-textbox:#_x0000_s36720" inset="0,0,0,0">
              <w:txbxContent>
                <w:tbl>
                  <w:tblPr>
                    <w:tblW w:w="11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98"/>
                  </w:tblGrid>
                  <w:tr w:rsidR="003F5690" w:rsidRPr="0002302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ס''ח התשל"א, עמ' 16.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ס''ח התשי''ח, עמ' .86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721" o:spid="_x0000_s1031" type="#_x0000_t202" style="position:absolute;left:0;text-align:left;margin-left:90.35pt;margin-top:81pt;width:466.3pt;height:611.8pt;z-index:5;mso-wrap-style:none;mso-position-horizontal-relative:page;mso-position-vertical-relative:page" stroked="f">
            <v:textbox style="mso-next-textbox:#_x0000_s36721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200"/>
                  </w:tblGrid>
                  <w:tr w:rsidR="003F5690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הטרדה מינית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יפגע מעביד בעובד בעניינים המנויים בסעיף 2 מחמת סירובו של העובד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להיענות להצעה או בשל התנגדותו למעשה שהם בעלי אופי מיני ושנעשו בידי המעביד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מי שממונה במישרין או בעקיפין על העובד.</w:t>
                        </w:r>
                      </w:p>
                    </w:tc>
                  </w:tr>
                  <w:tr w:rsidR="003F5690" w:rsidRPr="00023022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בדבר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הצעות עבודה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מעביד או הזקוק לעובד לא יפרסם מודעה בדבר הצעת עבודה או שליחה להכשרה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אלא אם כן הצעת העבודה צויינה בלשון זכר ובלשון נקבה, בין ביחיד ובין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ברבים, למעט הצעת עבודה שסעיף 2 (ג) חל עליה.</w:t>
                        </w:r>
                      </w:p>
                    </w:tc>
                  </w:tr>
                  <w:tr w:rsidR="003F5690" w:rsidRPr="00023022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נטל ההוכחה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בתובענה של דורש עבודה או של עובד בשל הפרת הוראות סעיף 2, תהא חובת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ההוכחה על המעביד כי פעל שלא בניגוד להוראות סעיף 2 -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קבלה לעבודה, קידום בעבודה, תנאי עבודה, שליחה להכשרה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השתלמות מקצועית, או תשלום פיצויי פיטורים - אם קבע המעביד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תנאים או כישורים, ודורש העבודה או העובד, לפי הענין, הוכיחו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נתקיימו בהם התנאים או הכישורים האמורים;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פיטורים מהעבודה - אם הוכיח העובד שלא היתה בהתנהגותו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במעשיו סיבה לפיטוריו.</w:t>
                        </w:r>
                      </w:p>
                    </w:tc>
                  </w:tr>
                  <w:tr w:rsidR="003F5690" w:rsidRPr="00023022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שיטוט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ותרו6ות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לבית-הדין לעבודה תהא סמכות ייחודית לדון בהליך אזרחי בשל הפרת הוראות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והוא רשאי -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לפסוק פיצויים אף אם לא נגרם נזק של ממון בשיעור שייראה לו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הענין;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צו מניעה או צו עשה, אם ראה שהענקת פיצויים בלבד לא תהא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צודקת; בבואו להוציא צו כאמור יביא בית הדין בחשבון, בין היתר, את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השפעת הצו על יחסי העבודה במקום העבודה ואת האפשרות שעובד אחר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ייפגע, ולגבי פיטורים הנובעים מצמצומים בעבודה גם את הוראותיו של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 החל על הצדדים. הוראות סעיף קטן זה כוחן יפה על אף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3(2) לחוק החוזים (תרופות בשל הפרת חוזה), התשל"א-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1970 2.</w:t>
                        </w:r>
                      </w:p>
                    </w:tc>
                  </w:tr>
                  <w:tr w:rsidR="003F5690" w:rsidRPr="00023022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מולן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קבע בית-הדין לעבודה בתובענה של עובד לפי חוק זה, כי מגיעים לעובד הפרשי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 או פיצויי פיטורים יהיה, לענין חוק הגנת השכר, התשיי'ח-1958 3, המועד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 - היום השמיני שלאחר מתן פסק הדין וי'היום הקובע'', לענין הפרשי שכר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- היום התשיעי שלאחר מועד התשלום כאמור.</w:t>
                        </w:r>
                      </w:p>
                    </w:tc>
                  </w:tr>
                  <w:tr w:rsidR="003F5690" w:rsidRPr="00023022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תביעה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תובענות בשל הפרת הוראות חוק זה יכול שיוגשו בידי העובד, או בידי ארגון</w:t>
                        </w:r>
                      </w:p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היציג באותו מקום עבודה, ובאין ארגון עובדים כאמור - בידי ארגון העובדים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 חבר בו.</w:t>
                        </w:r>
                      </w:p>
                    </w:tc>
                  </w:tr>
                  <w:tr w:rsidR="003F5690" w:rsidRPr="00023022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התערבות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בתובענות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F5690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בתובענות בשל הפרת הוראות חוק זה רשאי בית-הדין לעבודה לתת לארגון</w:t>
                        </w:r>
                      </w:p>
                      <w:p w:rsidR="003F5690" w:rsidRPr="00023022" w:rsidRDefault="003F56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בזכויות נשים להשמיע את דברו, בדרך שיורה.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E6B42" w:rsidRDefault="007E6B42">
      <w:pPr>
        <w:rPr>
          <w:rtl/>
        </w:rPr>
      </w:pPr>
      <w:r>
        <w:rPr>
          <w:rtl/>
        </w:rPr>
        <w:br w:type="page"/>
      </w:r>
    </w:p>
    <w:p w:rsidR="007E6B42" w:rsidRDefault="00000000">
      <w:pPr>
        <w:rPr>
          <w:rtl/>
        </w:rPr>
      </w:pPr>
      <w:r>
        <w:pict>
          <v:shape id="_x0000_s3672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722" inset="0,0,0,0">
              <w:txbxContent>
                <w:p w:rsidR="003F5690" w:rsidRDefault="003F5690">
                  <w:r>
                    <w:rPr>
                      <w:rtl/>
                    </w:rPr>
                    <w:t>40                                          ספר החוקים 1240                   י"ד באדר התשמ"ח 03.03.1988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23" o:spid="_x0000_s1033" type="#_x0000_t202" style="position:absolute;left:0;text-align:left;margin-left:359.8pt;margin-top:692.65pt;width:129.9pt;height:31.7pt;z-index:9;mso-wrap-style:none;mso-position-horizontal-relative:page;mso-position-vertical-relative:page" stroked="f">
            <v:textbox style="mso-next-textbox:#_x0000_s36723" inset="0,0,0,0">
              <w:txbxContent>
                <w:tbl>
                  <w:tblPr>
                    <w:tblW w:w="13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63"/>
                  </w:tblGrid>
                  <w:tr w:rsidR="003F5690" w:rsidRPr="007E6B4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התשל"ז, עמ' 226.</w:t>
                        </w:r>
                      </w:p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חוקי א''י, כרך א', עמ' .439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724" o:spid="_x0000_s1034" type="#_x0000_t202" style="position:absolute;left:0;text-align:left;margin-left:84.8pt;margin-top:71.9pt;width:473.8pt;height:615pt;z-index:8;mso-wrap-style:none;mso-position-horizontal-relative:page;mso-position-vertical-relative:page" stroked="f">
            <v:textbox style="mso-next-textbox:#_x0000_s36724" inset="0,0,0,0">
              <w:txbxContent>
                <w:tbl>
                  <w:tblPr>
                    <w:tblW w:w="50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9"/>
                    <w:gridCol w:w="1156"/>
                  </w:tblGrid>
                  <w:tr w:rsidR="003F5690" w:rsidRPr="007E6B4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לא יזדקק בית -הדין לעבודה לתביעה אזרחית בשל הפרת הוראות חוק זה שהוגשה</w:t>
                        </w:r>
                      </w:p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שחלפו שש-ה חדשים מיום שנוצרה העילה.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</w:tr>
                  <w:tr w:rsidR="003F5690" w:rsidRPr="007E6B4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העובר על הוראות סעיפים 2, 6, 7 או 8, דינו - כפל הקנס הקבוע בסעיף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 (א) (1) לחוק העונשין, התשל"ז-1977 4.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בעבירה על הוראת סעיף 8 לא יישא באחריות פלילית אלא המעביד או</w:t>
                        </w:r>
                      </w:p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הזקוק לעובד.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3F5690" w:rsidRPr="007E6B4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נעברה עבירה לפי חוק זה בידי חבר-בני-אדם, רואים כאחראי לה גם כל שותף -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שותף מוגבל - או פקיד אחראי של אותי חבר, ואפשר להביאו לדין כאילו הוא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את העבירה, אם לא הוכיח שהעבירה נעברה שלא בידיעתו או שנקט כל האמצעים</w:t>
                        </w:r>
                      </w:p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הנאותים למניעתה.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אישית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של</w:t>
                        </w:r>
                      </w:p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חבר-בני-אדם</w:t>
                        </w:r>
                      </w:p>
                    </w:tc>
                  </w:tr>
                  <w:tr w:rsidR="003F5690" w:rsidRPr="007E6B4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לענין חוק זה דין המדינה כמעביד כדין כל מעביד אחר.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3F5690" w:rsidRPr="007E6B4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השר ימנה מפקחים לענין פיקוח על ביצוע הוראות חוק זה.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ביצוע תפקידיו לפי חוק זה רשאי מפקח -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מכל מעביד או מכל מי שזקוק לעובד ומכל אדם אחר הנוגע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להמציא לו כל מידע שבידיו הנוגע לחוק זה;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מתן הודעה מוקדמת - להיכנס לכל מקום עבודה ולחקור את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הבעלים וכל אדם אחר הנוגע בדבר שבאותו מקום, ולבדוק את המסמכים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לעובדים באותו מקום עבודה.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מפקח רשאי לרשום בפרוטוקול את תשובותיו והודעותיו של מי שהוא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על פי סעיף זה, ודין פרוטוקול שנרשם כאמור כדין הודעה שנרשמה בהתאם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לפקודת הפרוצדורה הפלילית (עדות) 5, וסעיף 3 לפקודה האמורה יחול עליו.</w:t>
                        </w:r>
                      </w:p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קטן (ב), אין אדם חייב למסור ראיה העשויה להפלילו.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</w:t>
                        </w:r>
                      </w:p>
                    </w:tc>
                  </w:tr>
                  <w:tr w:rsidR="003F5690" w:rsidRPr="007E6B4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השר ימנה מועצה ציבורית (להלן - המועצה) שחבריה יהיו: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נציגים של משרדי הממשלה שיקבעם השר;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 עובדים - לאחר התייעצות בארגון עובדים המייצג את המספר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עובדים במדינה;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 מעבידים - לאחר התייעצות בארגונים ארציים יציגים של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שלדעת השר הם נוגעים בדבר ;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נציגי ציבור אחרים שלדעת השר הם נוגעים בדבר.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או מי שהוא מינה לכך יהיה יושב ראש המועצה.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יקבע בתקנות את תקופת כהונתה של המועצה, סדרי עבודתה ומספר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חבריה, ובלבד שמספר הנציגים של משרדי והממשלה יהיה שלוש עשיריות מחברי המועצה,</w:t>
                        </w:r>
                      </w:p>
                      <w:p w:rsidR="003F5690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וכד יהיה מספרם של נציגי העובדים ונציגי המעבידים, ומספר נציגי הציבור יהיה עשירית</w:t>
                        </w:r>
                      </w:p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המועצה.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3F5690" w:rsidRPr="007E6B42" w:rsidRDefault="003F56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ציבורית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83670" w:rsidRDefault="00283670">
      <w:pPr>
        <w:rPr>
          <w:rtl/>
        </w:rPr>
      </w:pPr>
      <w:r>
        <w:rPr>
          <w:rtl/>
        </w:rPr>
        <w:br w:type="page"/>
      </w:r>
    </w:p>
    <w:p w:rsidR="00283670" w:rsidRDefault="00000000">
      <w:pPr>
        <w:rPr>
          <w:rtl/>
        </w:rPr>
      </w:pPr>
      <w:r>
        <w:pict>
          <v:shape id="_x0000_s3672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725" inset="0,0,0,0">
              <w:txbxContent>
                <w:p w:rsidR="003F5690" w:rsidRDefault="003F5690">
                  <w:r>
                    <w:rPr>
                      <w:rtl/>
                    </w:rPr>
                    <w:t>41                                          ספר החוקים 1240                   י"ד באדר התשמ"ח 03.03.1988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26" o:spid="_x0000_s1036" type="#_x0000_t202" style="position:absolute;left:0;text-align:left;margin-left:417.65pt;margin-top:691.55pt;width:129.3pt;height:21pt;z-index:12;mso-wrap-style:none;mso-position-horizontal-relative:page;mso-position-vertical-relative:page" stroked="f">
            <v:textbox style="mso-next-textbox:#_x0000_s36726" inset="0,0,0,0">
              <w:txbxContent>
                <w:tbl>
                  <w:tblPr>
                    <w:tblW w:w="13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51"/>
                  </w:tblGrid>
                  <w:tr w:rsidR="003F5690" w:rsidRPr="0028367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Pr="00283670" w:rsidRDefault="003F569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ס''ח התשכ''ג, עמ' 136.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727" o:spid="_x0000_s1037" type="#_x0000_t202" style="position:absolute;left:0;text-align:left;margin-left:79.85pt;margin-top:70.8pt;width:478.35pt;height:616.55pt;z-index:11;mso-wrap-style:none;mso-position-horizontal-relative:page;mso-position-vertical-relative:page" stroked="f">
            <v:textbox style="mso-next-textbox:#_x0000_s3672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7077"/>
                  </w:tblGrid>
                  <w:tr w:rsidR="003F5690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3F5690" w:rsidRPr="00283670" w:rsidRDefault="003F569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התפטר חבר המועצה, נפטר או נבצר ממנו, דרך קבע, למלא את תפקידו,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השר אדם אחר במקומו ליתרת תקופת כהונתו, לאחר התייעצות בגוף שבהתייעצות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נמנה אותו חבר מועצה.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20. תפקיד המועצה לייעץ לשר בכל ענין הנוגע לביצוע חוק זה, וכן בכל ענין הנוגע- 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לטיפוח תודעה ציבורית בכל הקשור לשוויון ההזדמנויות בעבודה;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ליצירת תנאים והכנת שירותים כדי להקל על נשים את היציאה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לעבודה;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לשוויון ההזדמנויות בקידום בעבודה ובשליחת להכשרה מקצועית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עובדים ועובדות במקום העבודה;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לפרסום מידע בכל ענין שבתחום תפקידה של המועצה.</w:t>
                        </w:r>
                      </w:p>
                    </w:tc>
                  </w:tr>
                  <w:tr w:rsidR="003F5690" w:rsidRPr="00283670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3F5690" w:rsidRPr="00283670" w:rsidRDefault="003F569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תחולה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3F5690" w:rsidRDefault="003F569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לענין סעיף 2 אין רואים כהפליה העדפה של עובד שהוא בן משפחתי של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המעביד, ובתאגיד - בן משפחתו של בעל השליטה בו; לענין זה -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"בן משפחה" - בן זוג, הורה, ילד, נכד, אח, אחות אל בני זוגם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אלה;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"בעל שליטה בתאגיד" - מי שבידו או ביחד עם בני משפחתו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ישירה או עקיפה בעסקיו וניהולו של התאגיד.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זה, למעט סעיף 7, לא יחולו לגבי עובד המועסק שלא לצורך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או משלח ידו של מעבידו.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זה, למעט סעיף 7, לא יחולו לגבי מעביד המעסיק פחות מששה</w:t>
                        </w:r>
                      </w:p>
                      <w:p w:rsidR="003F5690" w:rsidRPr="0028367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עובדים. </w:t>
                        </w:r>
                      </w:p>
                    </w:tc>
                  </w:tr>
                  <w:tr w:rsidR="003F5690" w:rsidRPr="00283670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3F5690" w:rsidRDefault="003F569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3F5690" w:rsidRPr="00283670" w:rsidRDefault="003F569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 פיטורים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3F5690" w:rsidRDefault="003F569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7 לחוק פיצויי פיטורים, התשכ"ג-1963 6 -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"התפטרות של הורה";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(א) ואחריו יבוא: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יחולו בשינויים המחוייבים, על עובד, והכל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נתקיים בו אחד מאלה: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 זוגו של העובד הועסקה כעובדת במשך ששה חדשים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לפחות בסמוך לפני יום התפטרותו; לענק זה יראו כעבודה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תקופת הפסקה בעבודה שבה נמשכים יחסן עובד ומעביד;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הילד נמצא בהחזקתו הבלעדית, או בטיפולו הבלעדי מחמת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או מחלה של בת זוגו.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אחד מבני הזוג כאמור בסעיף קטן (א) או (ב) לפי יהענין,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הוראות סעיף זה על בן הזוג השני.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והרווחה רשאי לקבוע בתקנות, באישור ועדת העבודה</w:t>
                        </w:r>
                      </w:p>
                      <w:p w:rsidR="003F569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הוראות בדבר חובת מסירת הודעות למעביד לענין</w:t>
                        </w:r>
                      </w:p>
                      <w:p w:rsidR="003F5690" w:rsidRPr="00283670" w:rsidRDefault="003F569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מאת בני זוג או אחד מהם ותוצאות אי מסירת הודעות כאמור."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F5690" w:rsidRDefault="003F5690">
      <w:pPr>
        <w:rPr>
          <w:rtl/>
        </w:rPr>
      </w:pPr>
      <w:r>
        <w:rPr>
          <w:rtl/>
        </w:rPr>
        <w:br w:type="page"/>
      </w:r>
    </w:p>
    <w:p w:rsidR="003F5690" w:rsidRDefault="00000000">
      <w:pPr>
        <w:rPr>
          <w:rtl/>
        </w:rPr>
      </w:pPr>
      <w:r>
        <w:pict>
          <v:shape id="_x0000_s36728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6728" inset="0,0,0,0">
              <w:txbxContent>
                <w:p w:rsidR="003F5690" w:rsidRDefault="003F5690">
                  <w:r>
                    <w:rPr>
                      <w:rtl/>
                    </w:rPr>
                    <w:t>42                                          ספר החוקים 1240                   י"ד באדר התשמ"ח 03.03.1988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29" o:spid="_x0000_s1039" type="#_x0000_t202" style="position:absolute;left:0;text-align:left;margin-left:355.2pt;margin-top:664.8pt;width:127.7pt;height:43.75pt;z-index:18;mso-wrap-style:none;mso-position-horizontal-relative:page;mso-position-vertical-relative:page" stroked="f">
            <v:textbox style="mso-next-textbox:#_x0000_s36729" inset="0,0,0,0">
              <w:txbxContent>
                <w:tbl>
                  <w:tblPr>
                    <w:tblW w:w="13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22"/>
                  </w:tblGrid>
                  <w:tr w:rsidR="003F5690" w:rsidRPr="003F569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ס"ח התשי"ד, ועמ' 154.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ס"ח התשכ''ט, עמ' .70</w:t>
                        </w:r>
                      </w:p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ס"ח התשמ''א, עמ' .285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730" o:spid="_x0000_s1040" type="#_x0000_t202" style="position:absolute;left:0;text-align:left;margin-left:99.8pt;margin-top:589.75pt;width:113.05pt;height:40.4pt;z-index:17;mso-wrap-style:none;mso-position-horizontal-relative:page;mso-position-vertical-relative:page" stroked="f">
            <v:textbox style="mso-next-textbox:#_x0000_s36730" inset="0,0,0,0">
              <w:txbxContent>
                <w:tbl>
                  <w:tblPr>
                    <w:tblW w:w="12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56"/>
                  </w:tblGrid>
                  <w:tr w:rsidR="003F569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קצב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731" o:spid="_x0000_s1041" type="#_x0000_t202" style="position:absolute;left:0;text-align:left;margin-left:238pt;margin-top:584pt;width:103.35pt;height:43.55pt;z-index:16;mso-wrap-style:none;mso-position-horizontal-relative:page;mso-position-vertical-relative:page" stroked="f">
            <v:textbox style="mso-next-textbox:#_x0000_s36731" inset="0,0,0,0">
              <w:txbxContent>
                <w:tbl>
                  <w:tblPr>
                    <w:tblW w:w="11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8"/>
                  </w:tblGrid>
                  <w:tr w:rsidR="003F569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732" o:spid="_x0000_s1042" type="#_x0000_t202" style="position:absolute;left:0;text-align:left;margin-left:359.15pt;margin-top:618.65pt;width:113.05pt;height:35.65pt;z-index:15;mso-wrap-style:none;mso-position-horizontal-relative:page;mso-position-vertical-relative:page" stroked="f">
            <v:textbox style="mso-next-textbox:#_x0000_s36732" inset="0,0,0,0">
              <w:txbxContent>
                <w:tbl>
                  <w:tblPr>
                    <w:tblW w:w="12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56"/>
                  </w:tblGrid>
                  <w:tr w:rsidR="003F569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היציג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733" o:spid="_x0000_s1043" type="#_x0000_t202" style="position:absolute;left:0;text-align:left;margin-left:84.35pt;margin-top:67.65pt;width:474.4pt;height:506.7pt;z-index:14;mso-wrap-style:none;mso-position-horizontal-relative:page;mso-position-vertical-relative:page" stroked="f">
            <v:textbox style="mso-next-textbox:#_x0000_s36733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421"/>
                  </w:tblGrid>
                  <w:tr w:rsidR="003F5690" w:rsidRPr="003F5690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בחוק עבודת נשים, התשי"ד-1954 7, בסעיף 7, אחרי סעיף קטן (ד) יבוא: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הוראות סעיף קטן (ד) אף כשהן חלות מכוח סעיף 6א יחולו,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על עובד שעבד אצל אותו מעביד או באותו מקום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לפחות עשרים וארבעה חדשים רצופים עד יום הולדת ילדו, ובלבד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שנתקיים בו אחד מאלה: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 זוגו הועסקה כעובדת במשך ששה חדשים רצופים לפחות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בסמוך לפני תחילת העדרותו מהעבודה בהתאם להוראות סעיף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(ד).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הילד נמצא בהחזקתו הבלעדית, או בטיפולו הבלעדי מחמת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או מחלה של בת זוגו.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(ד2) נעדר אחד מבני-זוג מן העבודה כאמור בסעיף קטן (ד) או (ד1),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לא יחולו הוראות אותם סעיפים קטנים על בן-הזוג השני;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אולם, אם נעדר אחד מבני הזוג תקופה קצרה מהאמור בסעיפים קטנים (ד)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(ד1) לפי הענין, רשאי בן זוגו להעדר מהעבודה על פי הוראות אותם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למשך יתרת התקופה האמורה.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(ד3) לענין חישוב תקופת העבודה הרצופה כאמור בסעיפים קטנים (ד)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ו-(ד1), יראו כעבודה גם תקופת הפסקה בעבודה שבה נמשכים יחסי עובד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ומעביד.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(ד4) שר העבודה והרווחה רשאי לקבוע בתקנות, באישור ועדת העבודה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הוראות בדבר חובת מסירת הודעות למעביד לענין</w:t>
                        </w:r>
                      </w:p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מאת בני -זוג או אחד מהם ותוצאות אי מסירת הודעות כאמור."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נשים</w:t>
                        </w:r>
                      </w:p>
                    </w:tc>
                  </w:tr>
                  <w:tr w:rsidR="003F5690" w:rsidRPr="003F5690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בית -הדין לעבודה, התשכ"ט-1969 8, בתוספת השניה, בסופה יבוא:</w:t>
                        </w:r>
                      </w:p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שוויון ההזדמנויות בעבודה, התשמ"ח-1988".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בית-הדין לעבודה</w:t>
                        </w:r>
                      </w:p>
                    </w:tc>
                  </w:tr>
                  <w:tr w:rsidR="003F5690" w:rsidRPr="003F5690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חוק הזדמנות שווה בתעסוקה, התשמ"א-1981  9- בטל.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3F5690" w:rsidRPr="003F5690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השר ממונה על ביצוע חוק זה והוא רשאי להתקין תקנות בכל הנוגע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באישור ועדת העבודה והרווחה של הכנסת, לקבוע בתקנות</w:t>
                        </w:r>
                      </w:p>
                      <w:p w:rsid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חובת מסירת הודעות למעביד לענין סעיף 4 מאת בני זוג או אחד מהם</w:t>
                        </w:r>
                      </w:p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ותוצאות אי מסירת הודעות כאמור,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F5690" w:rsidRPr="003F5690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תחילתו של חוק זה ביום י"ד בניסן התשמ"ח (1 באפריל 1988).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F5690" w:rsidRPr="003F5690" w:rsidRDefault="003F569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F5690" w:rsidRDefault="003F569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37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63E899-3687-47FE-9CBA-7ED44929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370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2302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E6B4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8367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F569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2008-04-07T02:56:00Z</dcterms:created>
  <dcterms:modified xsi:type="dcterms:W3CDTF">2008-04-07T02:57:00Z</dcterms:modified>
</cp:coreProperties>
</file>