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5D23" w:rsidRDefault="00655D23">
      <w:pPr>
        <w:rPr>
          <w:rtl/>
        </w:rPr>
      </w:pPr>
    </w:p>
    <w:p w:rsidR="00655D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7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751" inset="0,0,0,0">
              <w:txbxContent>
                <w:p w:rsidR="00655D23" w:rsidRDefault="00655D23">
                  <w:r>
                    <w:rPr>
                      <w:rtl/>
                    </w:rPr>
                    <w:t>122                                         ספר החוקים 1216                  ה' בסיוון התשמ"ז 02.06.1987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52" o:spid="_x0000_s1026" type="#_x0000_t202" style="position:absolute;left:0;text-align:left;margin-left:101.05pt;margin-top:299.4pt;width:391.05pt;height:58.6pt;z-index:6;mso-wrap-style:none;mso-position-horizontal-relative:page;mso-position-vertical-relative:page" stroked="f">
            <v:textbox style="mso-next-textbox:#_x0000_s36752" inset="0,0,0,0">
              <w:txbxContent>
                <w:p w:rsidR="00655D23" w:rsidRDefault="00655D23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באייר התשמ"ז (26 במאי 1987); הצעת החוק ודברי הסבר פורסמו בה''ח 1617.</w:t>
                  </w:r>
                </w:p>
                <w:p w:rsidR="00655D23" w:rsidRDefault="00655D23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התשמ"ז, עמ' 173.</w:t>
                  </w:r>
                </w:p>
                <w:p w:rsidR="00655D23" w:rsidRDefault="00655D23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ס''ח התשל"ו, עמ' 252; התשמ"ב, עמ' 4.</w:t>
                  </w:r>
                </w:p>
                <w:p w:rsidR="00655D23" w:rsidRDefault="00655D23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8, עמ' 197; ס''ח התשכ''ז, עמ' 56; תשהל"ו, עמ' 103; התשמ"ז, עמ' .86</w:t>
                  </w:r>
                </w:p>
                <w:p w:rsidR="00655D23" w:rsidRDefault="00655D23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3 ק"ת התשי"א, עמ' 178; התשל"ז, עמ' .2889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53" o:spid="_x0000_s1027" type="#_x0000_t202" style="position:absolute;left:0;text-align:left;margin-left:121.65pt;margin-top:224.4pt;width:81.75pt;height:33.05pt;z-index:5;mso-wrap-style:none;mso-position-horizontal-relative:page;mso-position-vertical-relative:page" stroked="f">
            <v:textbox style="mso-next-textbox:#_x0000_s36753" inset="0,0,0,0">
              <w:txbxContent>
                <w:p w:rsidR="00655D23" w:rsidRDefault="00655D23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55D23" w:rsidRPr="00655D23" w:rsidRDefault="00655D23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54" o:spid="_x0000_s1028" type="#_x0000_t202" style="position:absolute;left:0;text-align:left;margin-left:250.35pt;margin-top:222.8pt;width:89.9pt;height:40.4pt;z-index:4;mso-wrap-style:none;mso-position-horizontal-relative:page;mso-position-vertical-relative:page" stroked="f">
            <v:textbox style="mso-next-textbox:#_x0000_s36754" inset="0,0,0,0">
              <w:txbxContent>
                <w:p w:rsidR="00655D23" w:rsidRDefault="00655D23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55D23" w:rsidRPr="00655D23" w:rsidRDefault="00655D23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55" o:spid="_x0000_s1029" type="#_x0000_t202" style="position:absolute;left:0;text-align:left;margin-left:375.1pt;margin-top:256.65pt;width:92.25pt;height:30.5pt;z-index:3;mso-wrap-style:none;mso-position-horizontal-relative:page;mso-position-vertical-relative:page" stroked="f">
            <v:textbox style="mso-next-textbox:#_x0000_s36755" inset="0,0,0,0">
              <w:txbxContent>
                <w:p w:rsidR="00655D23" w:rsidRDefault="00655D23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55D23" w:rsidRPr="00655D23" w:rsidRDefault="00655D23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56" o:spid="_x0000_s1030" type="#_x0000_t202" style="position:absolute;left:0;text-align:left;margin-left:95.35pt;margin-top:122.2pt;width:461.95pt;height:90.7pt;z-index:2;mso-wrap-style:none;mso-position-horizontal-relative:page;mso-position-vertical-relative:page" stroked="f">
            <v:textbox style="mso-next-textbox:#_x0000_s36756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6"/>
                    <w:gridCol w:w="1203"/>
                  </w:tblGrid>
                  <w:tr w:rsidR="00655D23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655D23" w:rsidRDefault="00655D2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 לחוק הרשויות המקומיות (ערר על קביעת ארנונה כללית), התשל"ו-</w:t>
                        </w:r>
                      </w:p>
                      <w:p w:rsidR="00655D23" w:rsidRDefault="00655D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1976 י, אחרי פסקה (2) יבוא:</w:t>
                        </w:r>
                      </w:p>
                      <w:p w:rsidR="00655D23" w:rsidRDefault="00655D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הוא איבו מחזיק כמשמעותו בסעיף 274ב(ב) לפקודת העיריות,2</w:t>
                        </w:r>
                      </w:p>
                      <w:p w:rsidR="00655D23" w:rsidRDefault="00655D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בסעיף 153 (ב) לצו המועצות המקומיות (א), התשי"א-81951, לפי</w:t>
                        </w:r>
                      </w:p>
                      <w:p w:rsidR="00655D23" w:rsidRPr="00655D23" w:rsidRDefault="00655D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העניו."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655D23" w:rsidRDefault="00655D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655D23" w:rsidRDefault="00655D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757" o:spid="_x0000_s1031" type="#_x0000_t202" style="position:absolute;left:0;text-align:left;margin-left:115.15pt;margin-top:80.05pt;width:362.95pt;height:37.2pt;z-index:1;mso-wrap-style:none;mso-position-horizontal-relative:page;mso-position-vertical-relative:page" stroked="f">
            <v:textbox style="mso-next-textbox:#_x0000_s36757" inset="0,0,0,0">
              <w:txbxContent>
                <w:p w:rsidR="00655D23" w:rsidRDefault="00655D23">
                  <w:pPr>
                    <w:pStyle w:val="OCRStyle1"/>
                    <w:ind w:left="21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(ערר על קביעת ארנונה כללית) (תיקון מס' 2),</w:t>
                  </w:r>
                </w:p>
                <w:p w:rsidR="00655D23" w:rsidRPr="00655D23" w:rsidRDefault="00655D23">
                  <w:pPr>
                    <w:pStyle w:val="OCRStyle1"/>
                    <w:ind w:left="257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התשמ"ז-1987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5D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139E33-3DEE-4972-BB23-0446FB4B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5D2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2008-04-07T02:48:00Z</dcterms:created>
  <dcterms:modified xsi:type="dcterms:W3CDTF">2008-04-07T02:48:00Z</dcterms:modified>
</cp:coreProperties>
</file>