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91B27" w:rsidRDefault="00A91B27">
      <w:pPr>
        <w:rPr>
          <w:rtl/>
        </w:rPr>
      </w:pPr>
    </w:p>
    <w:p w:rsidR="00A91B2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77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775" inset="0,0,0,0">
              <w:txbxContent>
                <w:p w:rsidR="00A514FC" w:rsidRDefault="00A514FC">
                  <w:r>
                    <w:rPr>
                      <w:rtl/>
                    </w:rPr>
                    <w:t>36                                          ספר החוקים 1206                    ד' באדר התשמ"ז 05.03.1987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76" o:spid="_x0000_s1026" type="#_x0000_t202" style="position:absolute;left:0;text-align:left;margin-left:94.3pt;margin-top:678.5pt;width:399.15pt;height:69.3pt;z-index:3;mso-wrap-style:none;mso-position-horizontal-relative:page;mso-position-vertical-relative:page" stroked="f">
            <v:textbox style="mso-next-textbox:#_x0000_s36776" inset="0,0,0,0">
              <w:txbxContent>
                <w:p w:rsidR="00A514FC" w:rsidRDefault="00A514FC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בשבט התשמ"ז (23 בסברואר 1987); הצעת החוק ודברי הסבר פורסמו בה''ח 1808,</w:t>
                  </w:r>
                </w:p>
                <w:p w:rsidR="00A514FC" w:rsidRDefault="00A514FC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התשמ"ז, עמ' 76.</w:t>
                  </w:r>
                </w:p>
                <w:p w:rsidR="00A514FC" w:rsidRPr="00A91B27" w:rsidRDefault="00A514FC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1 ס"ח התשכ"א, עמ' 178.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77" o:spid="_x0000_s1027" type="#_x0000_t202" style="position:absolute;left:0;text-align:left;margin-left:90.15pt;margin-top:114.2pt;width:466.1pt;height:556.95pt;z-index:2;mso-wrap-style:none;mso-position-horizontal-relative:page;mso-position-vertical-relative:page" stroked="f">
            <v:textbox style="mso-next-textbox:#_x0000_s36777" inset="0,0,0,0">
              <w:txbxContent>
                <w:tbl>
                  <w:tblPr>
                    <w:tblW w:w="497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39"/>
                    <w:gridCol w:w="1138"/>
                    <w:gridCol w:w="1300"/>
                  </w:tblGrid>
                  <w:tr w:rsidR="00A514FC" w:rsidRPr="00A91B27">
                    <w:trPr>
                      <w:jc w:val="right"/>
                    </w:trPr>
                    <w:tc>
                      <w:tcPr>
                        <w:tcW w:w="4233" w:type="pct"/>
                        <w:gridSpan w:val="2"/>
                      </w:tcPr>
                      <w:p w:rsidR="00A514FC" w:rsidRDefault="00A514F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8א לחוק לשכת עורכי הדין, התשכ"א-1961  1(להלן - החוק העיקרי),</w:t>
                        </w:r>
                      </w:p>
                      <w:p w:rsidR="00A514FC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סעיף קטן (ב) יבוא:</w:t>
                        </w:r>
                      </w:p>
                      <w:p w:rsidR="00A514FC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נבצר מראש הלשכה זמנית למלא את תפקידו, ישמש ממלא מקומו כראש</w:t>
                        </w:r>
                      </w:p>
                      <w:p w:rsidR="00A514FC" w:rsidRPr="00A91B27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במקומו."</w:t>
                        </w:r>
                      </w:p>
                    </w:tc>
                    <w:tc>
                      <w:tcPr>
                        <w:tcW w:w="767" w:type="pct"/>
                      </w:tcPr>
                      <w:p w:rsidR="00A514FC" w:rsidRPr="00A91B27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תיקיו סעיף 8א</w:t>
                        </w:r>
                      </w:p>
                    </w:tc>
                  </w:tr>
                  <w:tr w:rsidR="00A514FC" w:rsidRPr="00A91B27">
                    <w:trPr>
                      <w:jc w:val="right"/>
                    </w:trPr>
                    <w:tc>
                      <w:tcPr>
                        <w:tcW w:w="4233" w:type="pct"/>
                        <w:gridSpan w:val="2"/>
                      </w:tcPr>
                      <w:p w:rsidR="00A514FC" w:rsidRPr="00A91B27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8א לחוק העיקרי יבוא:</w:t>
                        </w:r>
                      </w:p>
                    </w:tc>
                    <w:tc>
                      <w:tcPr>
                        <w:tcW w:w="767" w:type="pct"/>
                      </w:tcPr>
                      <w:p w:rsidR="00A514FC" w:rsidRPr="00A91B27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8ב</w:t>
                        </w:r>
                      </w:p>
                    </w:tc>
                  </w:tr>
                  <w:tr w:rsidR="00A514FC">
                    <w:trPr>
                      <w:jc w:val="right"/>
                    </w:trPr>
                    <w:tc>
                      <w:tcPr>
                        <w:tcW w:w="3562" w:type="pct"/>
                      </w:tcPr>
                      <w:p w:rsidR="00A514FC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8ב. (א) התפטר ראש הלשכה, נפטר או נבצר ממנו, דרך קבע, למלא</w:t>
                        </w:r>
                      </w:p>
                      <w:p w:rsidR="00A514FC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תפקידו, תבחר המועצה הארצית ראש לשכה במקומו בבחירות</w:t>
                        </w:r>
                      </w:p>
                      <w:p w:rsidR="00A514FC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שוות, אישיות וחשאיות.</w:t>
                        </w:r>
                      </w:p>
                      <w:p w:rsidR="00A514FC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לשכה שנבחר לפי סעיף זה יכהן עד תום תקופת הכהונה</w:t>
                        </w:r>
                      </w:p>
                      <w:p w:rsidR="00A514FC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ראש הלשכה שבמקומו נבחר."</w:t>
                        </w:r>
                      </w:p>
                    </w:tc>
                    <w:tc>
                      <w:tcPr>
                        <w:tcW w:w="671" w:type="pct"/>
                      </w:tcPr>
                      <w:p w:rsidR="00A514FC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"בחירת ראש</w:t>
                        </w:r>
                      </w:p>
                      <w:p w:rsidR="00A514FC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לשכר. בידי</w:t>
                        </w:r>
                      </w:p>
                      <w:p w:rsidR="00A514FC" w:rsidRPr="00A91B27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  <w:tc>
                      <w:tcPr>
                        <w:tcW w:w="767" w:type="pct"/>
                      </w:tcPr>
                      <w:p w:rsidR="00A514FC" w:rsidRDefault="00A514F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514FC" w:rsidRPr="00A91B27">
                    <w:trPr>
                      <w:jc w:val="right"/>
                    </w:trPr>
                    <w:tc>
                      <w:tcPr>
                        <w:tcW w:w="4233" w:type="pct"/>
                        <w:gridSpan w:val="2"/>
                      </w:tcPr>
                      <w:p w:rsidR="00A514FC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האמור בסעיף 9 לחוק העיקרי יסומן (א) ואחריו יבוא:</w:t>
                        </w:r>
                      </w:p>
                      <w:p w:rsidR="00A514FC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לענין סעיף קטן (א) (2) רשאית הלשכה לקבוע כי פתקי ההצבעה לבחירות</w:t>
                        </w:r>
                      </w:p>
                      <w:p w:rsidR="00A514FC" w:rsidRPr="00A91B27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לועידה הארצית ייחשבו גם כפתקי ההצבעה לבחירות למועצה הארצית."</w:t>
                        </w:r>
                      </w:p>
                    </w:tc>
                    <w:tc>
                      <w:tcPr>
                        <w:tcW w:w="767" w:type="pct"/>
                      </w:tcPr>
                      <w:p w:rsidR="00A514FC" w:rsidRPr="00A91B27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A514FC" w:rsidRPr="00A91B27">
                    <w:trPr>
                      <w:jc w:val="right"/>
                    </w:trPr>
                    <w:tc>
                      <w:tcPr>
                        <w:tcW w:w="4233" w:type="pct"/>
                        <w:gridSpan w:val="2"/>
                      </w:tcPr>
                      <w:p w:rsidR="00A514FC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10 לחוק העיקרי, בסופו יבוא:</w:t>
                        </w:r>
                      </w:p>
                      <w:p w:rsidR="00A514FC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כהונתם של חברי הועד המרכזי והועדים המחוזיים תהא עד לבחירתם של</w:t>
                        </w:r>
                      </w:p>
                      <w:p w:rsidR="00A514FC" w:rsidRPr="00A91B27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תחתם."</w:t>
                        </w:r>
                      </w:p>
                    </w:tc>
                    <w:tc>
                      <w:tcPr>
                        <w:tcW w:w="767" w:type="pct"/>
                      </w:tcPr>
                      <w:p w:rsidR="00A514FC" w:rsidRPr="00A91B27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A514FC" w:rsidRPr="00A91B27">
                    <w:trPr>
                      <w:jc w:val="right"/>
                    </w:trPr>
                    <w:tc>
                      <w:tcPr>
                        <w:tcW w:w="4233" w:type="pct"/>
                        <w:gridSpan w:val="2"/>
                      </w:tcPr>
                      <w:p w:rsidR="00A514FC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12 לחוק העיקרי, במקום "ששלושים מחברי הלשכה" יבוא "שמאה וחמישים</w:t>
                        </w:r>
                      </w:p>
                      <w:p w:rsidR="00A514FC" w:rsidRPr="00A91B27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 הלשכה".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A514FC" w:rsidRPr="00A91B27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A514FC" w:rsidRPr="00A91B27">
                    <w:trPr>
                      <w:jc w:val="right"/>
                    </w:trPr>
                    <w:tc>
                      <w:tcPr>
                        <w:tcW w:w="4233" w:type="pct"/>
                        <w:gridSpan w:val="2"/>
                      </w:tcPr>
                      <w:p w:rsidR="00A514FC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13 לחוק העיקרי, במקום סעיף קטן (ד) יבוא:</w:t>
                        </w:r>
                      </w:p>
                      <w:p w:rsidR="00A514FC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נבצר מיושב ראש ועד מחוזי זמנית למלא את תפקידו, ישמש ממלא מקומו</w:t>
                        </w:r>
                      </w:p>
                      <w:p w:rsidR="00A514FC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כיושב ראש הועד המחוזי במקומו.</w:t>
                        </w:r>
                      </w:p>
                      <w:p w:rsidR="00A514FC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התפטר יושב ראש ועד מחוזי, נפטר או נבצר ממנו, דרך קבע, למלא את</w:t>
                        </w:r>
                      </w:p>
                      <w:p w:rsidR="00A514FC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תפקידו, יבחר הועד המחוזי יושב ראש ועד מחוזי במקומו בבחירות שוות, אישיות</w:t>
                        </w:r>
                      </w:p>
                      <w:p w:rsidR="00A514FC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וחשאיות.</w:t>
                        </w:r>
                      </w:p>
                      <w:p w:rsidR="00A514FC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יושב ראש הועד המחוזי שנבחר לפי סעיף קטן (ה) יכהן עד תום תקופת</w:t>
                        </w:r>
                      </w:p>
                      <w:p w:rsidR="00A514FC" w:rsidRPr="00A91B27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הכהונה של יושב ראש הועד המחוזי שבמקומו נבחר."</w:t>
                        </w:r>
                      </w:p>
                    </w:tc>
                    <w:tc>
                      <w:tcPr>
                        <w:tcW w:w="767" w:type="pct"/>
                      </w:tcPr>
                      <w:p w:rsidR="00A514FC" w:rsidRPr="00A91B27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A514FC" w:rsidRPr="00A91B27">
                    <w:trPr>
                      <w:jc w:val="right"/>
                    </w:trPr>
                    <w:tc>
                      <w:tcPr>
                        <w:tcW w:w="4233" w:type="pct"/>
                        <w:gridSpan w:val="2"/>
                      </w:tcPr>
                      <w:p w:rsidR="00A514FC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האמור בסעיף 14 לחוק העיקרי יסומן (א) ובו, אחרי "ייבחרו" יבוא "אחת לארבע</w:t>
                        </w:r>
                      </w:p>
                      <w:p w:rsidR="00A514FC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שנים" ואחריו יבוא:</w:t>
                        </w:r>
                      </w:p>
                      <w:p w:rsidR="00A514FC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 שכיהן כחבר בית הדין המשמעתי הארצי שתי תקופות בזו אחר זו,</w:t>
                        </w:r>
                      </w:p>
                      <w:p w:rsidR="00A514FC" w:rsidRPr="00A91B27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יהיה מועמד לתפקיד זה בתקופה הסמוכה לאחריהן."</w:t>
                        </w:r>
                      </w:p>
                    </w:tc>
                    <w:tc>
                      <w:tcPr>
                        <w:tcW w:w="767" w:type="pct"/>
                      </w:tcPr>
                      <w:p w:rsidR="00A514FC" w:rsidRPr="00A91B27" w:rsidRDefault="00A514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</w:tbl>
                <w:p w:rsidR="00A514FC" w:rsidRDefault="00A514F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778" o:spid="_x0000_s1028" type="#_x0000_t202" style="position:absolute;left:0;text-align:left;margin-left:132.9pt;margin-top:75.4pt;width:306.9pt;height:33.05pt;z-index:1;mso-wrap-style:none;mso-position-horizontal-relative:page;mso-position-vertical-relative:page" stroked="f">
            <v:textbox style="mso-next-textbox:#_x0000_s36778" inset="0,0,0,0">
              <w:txbxContent>
                <w:p w:rsidR="00A514FC" w:rsidRPr="00A91B27" w:rsidRDefault="00A514FC">
                  <w:pPr>
                    <w:pStyle w:val="OCRStyle1"/>
                    <w:ind w:left="151"/>
                    <w:rPr>
                      <w:sz w:val="24"/>
                      <w:szCs w:val="24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לשכת עורכי הדין (תיקון מסי 15), התשמ"ז-987ו*</w:t>
                  </w:r>
                </w:p>
              </w:txbxContent>
            </v:textbox>
            <w10:wrap anchorx="page" anchory="page"/>
          </v:shape>
        </w:pict>
      </w:r>
    </w:p>
    <w:p w:rsidR="00BB5192" w:rsidRDefault="00BB5192">
      <w:pPr>
        <w:rPr>
          <w:rtl/>
        </w:rPr>
      </w:pPr>
      <w:r>
        <w:rPr>
          <w:rtl/>
        </w:rPr>
        <w:br w:type="page"/>
      </w:r>
    </w:p>
    <w:p w:rsidR="00BB5192" w:rsidRDefault="00000000">
      <w:pPr>
        <w:rPr>
          <w:rtl/>
        </w:rPr>
      </w:pPr>
      <w:r>
        <w:pict>
          <v:shape id="_x0000_s3677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779" inset="0,0,0,0">
              <w:txbxContent>
                <w:p w:rsidR="00A514FC" w:rsidRDefault="00A514FC">
                  <w:r>
                    <w:rPr>
                      <w:rtl/>
                    </w:rPr>
                    <w:t>37                                          ספר החוקים 1206                    ד' באדר התשמ"ז 05.03.1987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80" o:spid="_x0000_s1030" type="#_x0000_t202" style="position:absolute;left:0;text-align:left;margin-left:367.2pt;margin-top:722.45pt;width:160.95pt;height:27.3pt;z-index:6;mso-wrap-style:none;mso-position-horizontal-relative:page;mso-position-vertical-relative:page" stroked="f">
            <v:textbox style="mso-next-textbox:#_x0000_s36780" inset="0,0,0,0">
              <w:txbxContent>
                <w:p w:rsidR="00A514FC" w:rsidRDefault="00A514F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6781" o:spid="_x0000_s1031" type="#_x0000_t202" style="position:absolute;left:0;text-align:left;margin-left:82.7pt;margin-top:77.4pt;width:466.9pt;height:640.95pt;z-index:5;mso-wrap-style:none;mso-position-horizontal-relative:page;mso-position-vertical-relative:page" stroked="f">
            <v:textbox style="mso-next-textbox:#_x0000_s36781" inset="0,0,0,0">
              <w:txbxContent>
                <w:tbl>
                  <w:tblPr>
                    <w:tblW w:w="497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6"/>
                    <w:gridCol w:w="5846"/>
                    <w:gridCol w:w="1465"/>
                  </w:tblGrid>
                  <w:tr w:rsidR="00A514FC" w:rsidRPr="00BB5192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A514FC" w:rsidRPr="00BB5192" w:rsidRDefault="00A514F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307" w:type="pct"/>
                        <w:gridSpan w:val="2"/>
                      </w:tcPr>
                      <w:p w:rsidR="00A514FC" w:rsidRDefault="00A514F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האמור בסעיף 15 לחוק העיקרי יסומן (א) ובו, אחרי "ייבחרו" יבוא "אחת לארבע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שנים" ואחריו יבוא: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 שכיהן כחבר בית דין משמעתי מחוזי שתי תקופות בזו אחר זו, לא</w:t>
                        </w:r>
                      </w:p>
                      <w:p w:rsidR="00A514FC" w:rsidRPr="00BB5192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מועמד לתפקיד זה בתקופה הסמוכה לאחריהן."</w:t>
                        </w:r>
                      </w:p>
                    </w:tc>
                  </w:tr>
                  <w:tr w:rsidR="00A514FC" w:rsidRPr="00BB5192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A514FC" w:rsidRPr="00BB5192" w:rsidRDefault="00A514F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16</w:t>
                        </w:r>
                      </w:p>
                    </w:tc>
                    <w:tc>
                      <w:tcPr>
                        <w:tcW w:w="4307" w:type="pct"/>
                        <w:gridSpan w:val="2"/>
                      </w:tcPr>
                      <w:p w:rsidR="00A514FC" w:rsidRPr="00BB5192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במקום סעיף 16 לחוק העיקרי יבוא:</w:t>
                        </w:r>
                      </w:p>
                    </w:tc>
                  </w:tr>
                  <w:tr w:rsidR="00A514FC" w:rsidRPr="00BB5192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4" w:type="pct"/>
                      </w:tcPr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כשיר להיבחר לבית הדין המשמעתי הארצי - מי שהיה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הלשכה לפחות שמונה שנים; כשיר להיבחר לבית דין משמעתי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 - מי שהיה חבל הלשכה לפחות חמש שנים; ואולם לא יהיה כשיר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להיבחר חבר בית דין משמעתי - 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שהורשע בבית משפט או בבית -דין צבאי בעבירה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עמה קלון;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שהורשע בבית דין משמעתי בעבירת משמעת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והוטל עליו עונש השעיה או הוצאה מן הלשכה, או שהוטל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עונש אחר אך טרם עברו עשר שנים מיום הרשעתו.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המועצה הארצית וחבר ועד מחוזי אינם כשירים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להיבחר או לכהן כחברי בית דין משמעתי."</w:t>
                        </w:r>
                      </w:p>
                    </w:tc>
                    <w:tc>
                      <w:tcPr>
                        <w:tcW w:w="863" w:type="pct"/>
                      </w:tcPr>
                      <w:p w:rsidR="00A514FC" w:rsidRDefault="00A514F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''כשירות לכהונה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כחכר בית דין</w:t>
                        </w:r>
                      </w:p>
                      <w:p w:rsidR="00A514FC" w:rsidRPr="00BB5192" w:rsidRDefault="00A514F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משמעתי</w:t>
                        </w:r>
                      </w:p>
                    </w:tc>
                  </w:tr>
                  <w:tr w:rsidR="00A514FC" w:rsidRPr="00BB5192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A514FC" w:rsidRPr="00BB5192" w:rsidRDefault="00A514F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17</w:t>
                        </w:r>
                      </w:p>
                    </w:tc>
                    <w:tc>
                      <w:tcPr>
                        <w:tcW w:w="4307" w:type="pct"/>
                        <w:gridSpan w:val="2"/>
                      </w:tcPr>
                      <w:p w:rsidR="00A514FC" w:rsidRPr="00BB5192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במקום סעיף 17 לחוק העיקרי יבוא:</w:t>
                        </w:r>
                      </w:p>
                    </w:tc>
                  </w:tr>
                  <w:tr w:rsidR="00A514FC" w:rsidRPr="00BB5192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4" w:type="pct"/>
                      </w:tcPr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תקופת כהונתם של חברי בתי הדין המשמעתיים תהא עד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לבחירת אחרים תחתם.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בית דין משמעתי שהחל לדון בענין פלוני רשאי לסיימו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לאחר שתמה תקופת כהונתו.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פחת מספר חברי בית דין משמעתי לכדי שני שלישים של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בית הדין ולא ניתן למלא מקומם כאמור בסעיף 17 ב, רשאית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לקבוע מועד לבחירות לשם בחירת חברי בית דין אחרים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להשלמת מספרם."</w:t>
                        </w:r>
                      </w:p>
                    </w:tc>
                    <w:tc>
                      <w:tcPr>
                        <w:tcW w:w="863" w:type="pct"/>
                      </w:tcPr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"תום כהונת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חברי בתי הדין</w:t>
                        </w:r>
                      </w:p>
                      <w:p w:rsidR="00A514FC" w:rsidRPr="00BB5192" w:rsidRDefault="00A514F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המשמעתיים</w:t>
                        </w:r>
                      </w:p>
                    </w:tc>
                  </w:tr>
                  <w:tr w:rsidR="00A514FC" w:rsidRPr="00BB5192">
                    <w:trPr>
                      <w:jc w:val="right"/>
                    </w:trPr>
                    <w:tc>
                      <w:tcPr>
                        <w:tcW w:w="693" w:type="pct"/>
                        <w:vMerge w:val="restart"/>
                      </w:tcPr>
                      <w:p w:rsidR="00A514FC" w:rsidRDefault="00A514F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A514FC" w:rsidRPr="00BB5192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 ו-17 ב</w:t>
                        </w:r>
                      </w:p>
                    </w:tc>
                    <w:tc>
                      <w:tcPr>
                        <w:tcW w:w="4307" w:type="pct"/>
                        <w:gridSpan w:val="2"/>
                      </w:tcPr>
                      <w:p w:rsidR="00A514FC" w:rsidRPr="00BB5192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אחרי סעיף 17 לחוק העיקרי יבוא:</w:t>
                        </w:r>
                      </w:p>
                    </w:tc>
                  </w:tr>
                  <w:tr w:rsidR="00A514FC" w:rsidRPr="00BB5192">
                    <w:trPr>
                      <w:jc w:val="right"/>
                    </w:trPr>
                    <w:tc>
                      <w:tcPr>
                        <w:tcW w:w="693" w:type="pct"/>
                        <w:vMerge/>
                      </w:tcPr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4" w:type="pct"/>
                      </w:tcPr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17א. כהונת חבר בית דין משמעתי נפסקת באחת מאלה: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 במסירת כתב התפטרות ליושב ראש בית הדין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המשמעתי שבו הוא חבר;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נבצר ממנו, דרך קבע, למלא את תפקידו;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נתקיימה בו אחת הנסיבות המונעות בעדו להיבחר לחבר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בית-דין משמעתי לפי סעיף 16;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חדל להיות חבר הלשכה.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"פקיעת כהונת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 בית-דין</w:t>
                        </w:r>
                      </w:p>
                      <w:p w:rsidR="00A514FC" w:rsidRPr="00BB5192" w:rsidRDefault="00A514F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משמעתי</w:t>
                        </w:r>
                      </w:p>
                    </w:tc>
                  </w:tr>
                  <w:tr w:rsidR="00A514FC" w:rsidRPr="00BB5192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4" w:type="pct"/>
                      </w:tcPr>
                      <w:p w:rsidR="00A514FC" w:rsidRDefault="00A514F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 ב. נתפנה מקומו של חבר בית-דין משמעתי, יכהן כחבר בית הדין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המשמעתי המועמד ששמו נקוב ראשון אחרי שמות המועמדים שנבחרו</w:t>
                        </w:r>
                      </w:p>
                      <w:p w:rsidR="00A514FC" w:rsidRPr="00BB5192" w:rsidRDefault="00A514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מרשימת המועמדים לאותו בית דין משמעתי בבחירות האחרונות."</w:t>
                        </w:r>
                      </w:p>
                    </w:tc>
                    <w:tc>
                      <w:tcPr>
                        <w:tcW w:w="863" w:type="pct"/>
                      </w:tcPr>
                      <w:p w:rsidR="00A514FC" w:rsidRDefault="00A514F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חילוקי חברים</w:t>
                        </w:r>
                      </w:p>
                      <w:p w:rsidR="00A514FC" w:rsidRDefault="00A514F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בבית דין</w:t>
                        </w:r>
                      </w:p>
                      <w:p w:rsidR="00A514FC" w:rsidRPr="00BB5192" w:rsidRDefault="00A514F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משמעתי</w:t>
                        </w:r>
                      </w:p>
                    </w:tc>
                  </w:tr>
                </w:tbl>
                <w:p w:rsidR="00A514FC" w:rsidRDefault="00A514F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10699" w:rsidRDefault="00110699">
      <w:pPr>
        <w:rPr>
          <w:rtl/>
        </w:rPr>
      </w:pPr>
      <w:r>
        <w:rPr>
          <w:rtl/>
        </w:rPr>
        <w:br w:type="page"/>
      </w:r>
    </w:p>
    <w:p w:rsidR="00110699" w:rsidRDefault="00000000">
      <w:pPr>
        <w:rPr>
          <w:rtl/>
        </w:rPr>
      </w:pPr>
      <w:r>
        <w:pict>
          <v:shape id="_x0000_s3678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6782" inset="0,0,0,0">
              <w:txbxContent>
                <w:p w:rsidR="00A514FC" w:rsidRDefault="00A514FC">
                  <w:r>
                    <w:rPr>
                      <w:rtl/>
                    </w:rPr>
                    <w:t>38                                          ספר החוקים 1206                    ד' באדר התשמ"ז 05.03.1987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83" o:spid="_x0000_s1033" type="#_x0000_t202" style="position:absolute;left:0;text-align:left;margin-left:87.95pt;margin-top:697.7pt;width:388.5pt;height:51.1pt;z-index:9;mso-wrap-style:none;mso-position-horizontal-relative:page;mso-position-vertical-relative:page" stroked="f">
            <v:textbox style="mso-next-textbox:#_x0000_s36783" inset="0,0,0,0">
              <w:txbxContent>
                <w:p w:rsidR="00A514FC" w:rsidRPr="00110699" w:rsidRDefault="00A514FC">
                  <w:pPr>
                    <w:pStyle w:val="OCRStyle3"/>
                    <w:ind w:left="148"/>
                  </w:pPr>
                  <w:r>
                    <w:rPr>
                      <w:rtl/>
                    </w:rPr>
                    <w:t>2 ס''ח התשמ''ד, עמ' 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84" o:spid="_x0000_s1034" type="#_x0000_t202" style="position:absolute;left:0;text-align:left;margin-left:82.2pt;margin-top:85.45pt;width:466.1pt;height:606.45pt;z-index:8;mso-wrap-style:none;mso-position-horizontal-relative:page;mso-position-vertical-relative:page" stroked="f">
            <v:textbox style="mso-next-textbox:#_x0000_s36784" inset="0,0,0,0">
              <w:txbxContent>
                <w:tbl>
                  <w:tblPr>
                    <w:tblW w:w="497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60"/>
                    <w:gridCol w:w="1227"/>
                    <w:gridCol w:w="1188"/>
                  </w:tblGrid>
                  <w:tr w:rsidR="00A514FC" w:rsidRPr="00110699">
                    <w:trPr>
                      <w:jc w:val="right"/>
                    </w:trPr>
                    <w:tc>
                      <w:tcPr>
                        <w:tcW w:w="4299" w:type="pct"/>
                        <w:gridSpan w:val="2"/>
                      </w:tcPr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18 (א) לחוק העיקרי, אחרי "בענין פלוני" יבוא "ורשאים שביים מהם</w:t>
                        </w:r>
                      </w:p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לפעול כאמור אם נבצר מהיושב ראש או מסגן לעשות כן".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A514FC" w:rsidRPr="00110699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A514FC" w:rsidRPr="00110699">
                    <w:trPr>
                      <w:jc w:val="right"/>
                    </w:trPr>
                    <w:tc>
                      <w:tcPr>
                        <w:tcW w:w="4299" w:type="pct"/>
                        <w:gridSpan w:val="2"/>
                      </w:tcPr>
                      <w:p w:rsidR="00A514FC" w:rsidRPr="00110699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אחרי סעיף 67 לחוק העיקרי יבוא:</w:t>
                        </w:r>
                      </w:p>
                    </w:tc>
                    <w:tc>
                      <w:tcPr>
                        <w:tcW w:w="701" w:type="pct"/>
                      </w:tcPr>
                      <w:p w:rsidR="00A514FC" w:rsidRPr="00110699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67א</w:t>
                        </w:r>
                      </w:p>
                    </w:tc>
                  </w:tr>
                  <w:tr w:rsidR="00A514FC">
                    <w:trPr>
                      <w:jc w:val="right"/>
                    </w:trPr>
                    <w:tc>
                      <w:tcPr>
                        <w:tcW w:w="3575" w:type="pct"/>
                      </w:tcPr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67א. ציווה בית משפט או מי שנתונה בידיו סמכות שפיטה לפי</w:t>
                        </w:r>
                      </w:p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 (ב) לחוק יסוד: השפיטה 2, על יושב ראש בית דין משמעתי</w:t>
                        </w:r>
                      </w:p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להמציא תיק בית הדין או כל מסמך המצוי בו, ימציאם היושב ראש</w:t>
                        </w:r>
                      </w:p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בצירוף הודעה בדבר סודיות הדיון."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"העברת תיקים</w:t>
                        </w:r>
                      </w:p>
                      <w:p w:rsidR="00A514FC" w:rsidRPr="00110699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ומסמכים</w:t>
                        </w:r>
                      </w:p>
                    </w:tc>
                    <w:tc>
                      <w:tcPr>
                        <w:tcW w:w="701" w:type="pct"/>
                      </w:tcPr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514FC" w:rsidRPr="00110699">
                    <w:trPr>
                      <w:jc w:val="right"/>
                    </w:trPr>
                    <w:tc>
                      <w:tcPr>
                        <w:tcW w:w="4299" w:type="pct"/>
                        <w:gridSpan w:val="2"/>
                      </w:tcPr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68 לחוק העיקרי -</w:t>
                        </w:r>
                      </w:p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(3), במקום "2,000 שקלים" יבוא "25,000 שקלים חדשים";</w:t>
                        </w:r>
                      </w:p>
                      <w:p w:rsidR="00A514FC" w:rsidRPr="00110699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(4), במקום י'חמש שנים" יבוא "עשר שנים".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A514FC" w:rsidRPr="00110699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68</w:t>
                        </w:r>
                      </w:p>
                    </w:tc>
                  </w:tr>
                  <w:tr w:rsidR="00A514FC" w:rsidRPr="00110699">
                    <w:trPr>
                      <w:jc w:val="right"/>
                    </w:trPr>
                    <w:tc>
                      <w:tcPr>
                        <w:tcW w:w="4299" w:type="pct"/>
                        <w:gridSpan w:val="2"/>
                      </w:tcPr>
                      <w:p w:rsidR="00A514FC" w:rsidRPr="00110699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אחרי סעיף 68 לחוק העיקרי יבוא:</w:t>
                        </w:r>
                      </w:p>
                    </w:tc>
                    <w:tc>
                      <w:tcPr>
                        <w:tcW w:w="701" w:type="pct"/>
                        <w:vMerge w:val="restart"/>
                      </w:tcPr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A514FC" w:rsidRPr="00110699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68א עד 68ה</w:t>
                        </w:r>
                      </w:p>
                    </w:tc>
                  </w:tr>
                  <w:tr w:rsidR="00A514FC">
                    <w:trPr>
                      <w:jc w:val="right"/>
                    </w:trPr>
                    <w:tc>
                      <w:tcPr>
                        <w:tcW w:w="3575" w:type="pct"/>
                      </w:tcPr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68א. (א) הטיל בית דין משמעתי עונש השעיה, רשאי הוא להורות</w:t>
                        </w:r>
                      </w:p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בגזר הדין שהעונש, כולו או מקצתו, יהיה על תנאי.</w:t>
                        </w:r>
                      </w:p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שנדון להשעיה על תנאי, לא ישא את ענשו אלא אם כן</w:t>
                        </w:r>
                      </w:p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עבר - תוך התקופה שנקבעה בגזר הדין ושלא תפחת משנה ולא</w:t>
                        </w:r>
                      </w:p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שלוש שנים (להלן - תקופת התנאי) - עבירת משמעת</w:t>
                        </w:r>
                      </w:p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 זה שקבע בית הדין בגזר הדין (להלן - עבירה נוספת)</w:t>
                        </w:r>
                      </w:p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והורשע בשל עבירה כזאת תוך תקופת התנאי או לאחריה.</w:t>
                        </w:r>
                      </w:p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תקופת התנאי תתחיל מיום גזר הדין, ואם הנידון נושא</w:t>
                        </w:r>
                      </w:p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זמן עונש השעיה - מיום תום אותה השעיה, והכל כשבית הדין</w:t>
                        </w:r>
                      </w:p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המשמעתי לא הורה אחרת.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"השעיה</w:t>
                        </w:r>
                      </w:p>
                      <w:p w:rsidR="00A514FC" w:rsidRPr="00110699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תנאי</w:t>
                        </w:r>
                      </w:p>
                    </w:tc>
                    <w:tc>
                      <w:tcPr>
                        <w:tcW w:w="701" w:type="pct"/>
                        <w:vMerge/>
                      </w:tcPr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514FC">
                    <w:trPr>
                      <w:jc w:val="right"/>
                    </w:trPr>
                    <w:tc>
                      <w:tcPr>
                        <w:tcW w:w="3575" w:type="pct"/>
                      </w:tcPr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68ב. (א) מי שנדון להשעיה על תנאי והורשע בשל עבירה נוספת</w:t>
                        </w:r>
                      </w:p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יצווה בית הדין המשמעתי על הפעלת ההשעיה על תנאי.</w:t>
                        </w:r>
                      </w:p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לפי סעיף קטן (א) יכול להינתן בידי בית הדין</w:t>
                        </w:r>
                      </w:p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המשמעתי 'שהרשיע את הנידון בשל העבירה הנוספת והוא יכול</w:t>
                        </w:r>
                      </w:p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להינתן בידי הרכב אחר של בית הדין האמור.</w:t>
                        </w:r>
                      </w:p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לפי סעיף קטן (א) ניתן לערעור; ערעור כאמור ביתן</w:t>
                        </w:r>
                      </w:p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לכלול בערעור על ההרשעה בעבירה הנוספת.</w:t>
                        </w:r>
                      </w:p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לעניו סעיף 69 (ב) יראו את הצו שניתן על פי סעיף</w:t>
                        </w:r>
                      </w:p>
                      <w:p w:rsidR="00A514FC" w:rsidRPr="00110699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כהחלטה על השעיה.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הפעלת השעיה</w:t>
                        </w:r>
                      </w:p>
                      <w:p w:rsidR="00A514FC" w:rsidRPr="00110699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 תנאי</w:t>
                        </w:r>
                      </w:p>
                    </w:tc>
                    <w:tc>
                      <w:tcPr>
                        <w:tcW w:w="701" w:type="pct"/>
                      </w:tcPr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514FC">
                    <w:trPr>
                      <w:jc w:val="right"/>
                    </w:trPr>
                    <w:tc>
                      <w:tcPr>
                        <w:tcW w:w="3575" w:type="pct"/>
                      </w:tcPr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68ג. מי שהוטל עליו עונש השעיה בשל עבירה נוספת והופעל נגדו</w:t>
                        </w:r>
                      </w:p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השעיה על תנאי ישא את שתי תקופות ההשעיה בזו אחר זו,</w:t>
                        </w:r>
                      </w:p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ציווה בית הדין המשמעתי שהרשיעו בעבירה הנוספת,</w:t>
                        </w:r>
                      </w:p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מטעמים שיירשמו, ששתי התקופות, כולן או מקצתן, יהיו חופפות.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תקומת השעיר.</w:t>
                        </w:r>
                      </w:p>
                      <w:p w:rsidR="00A514FC" w:rsidRPr="00110699" w:rsidRDefault="00A514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בזו אחר זו</w:t>
                        </w:r>
                      </w:p>
                    </w:tc>
                    <w:tc>
                      <w:tcPr>
                        <w:tcW w:w="701" w:type="pct"/>
                      </w:tcPr>
                      <w:p w:rsidR="00A514FC" w:rsidRDefault="00A514F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514FC" w:rsidRDefault="00A514F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514FC" w:rsidRDefault="00A514FC">
      <w:pPr>
        <w:rPr>
          <w:rtl/>
        </w:rPr>
      </w:pPr>
      <w:r>
        <w:rPr>
          <w:rtl/>
        </w:rPr>
        <w:br w:type="page"/>
      </w:r>
    </w:p>
    <w:p w:rsidR="00A514FC" w:rsidRDefault="00000000">
      <w:pPr>
        <w:rPr>
          <w:rtl/>
        </w:rPr>
      </w:pPr>
      <w:r>
        <w:pict>
          <v:shape id="_x0000_s36785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6785" inset="0,0,0,0">
              <w:txbxContent>
                <w:p w:rsidR="00A514FC" w:rsidRDefault="00A514FC">
                  <w:r>
                    <w:rPr>
                      <w:rtl/>
                    </w:rPr>
                    <w:t>39                                          ספר החוקים 1206                    ד' באדר התשמ"ז 05.03.1987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86" o:spid="_x0000_s1036" type="#_x0000_t202" style="position:absolute;left:0;text-align:left;margin-left:378.45pt;margin-top:695.85pt;width:168.3pt;height:44.55pt;z-index:15;mso-wrap-style:none;mso-position-horizontal-relative:page;mso-position-vertical-relative:page" stroked="f">
            <v:textbox style="mso-next-textbox:#_x0000_s36786" inset="0,0,0,0">
              <w:txbxContent>
                <w:p w:rsidR="00A514FC" w:rsidRPr="00A514FC" w:rsidRDefault="00A514FC">
                  <w:pPr>
                    <w:pStyle w:val="OCRStyle4"/>
                    <w:ind w:left="122"/>
                  </w:pPr>
                  <w:r>
                    <w:rPr>
                      <w:rtl/>
                    </w:rPr>
                    <w:t>3 ס"ח התשמ"ה, עמ' 197.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87" o:spid="_x0000_s1037" type="#_x0000_t202" style="position:absolute;left:0;text-align:left;margin-left:182.05pt;margin-top:631.5pt;width:89.1pt;height:38.6pt;z-index:14;mso-wrap-style:none;mso-position-horizontal-relative:page;mso-position-vertical-relative:page" stroked="f">
            <v:textbox style="mso-next-textbox:#_x0000_s36787" inset="0,0,0,0">
              <w:txbxContent>
                <w:p w:rsidR="00A514FC" w:rsidRDefault="00A514FC">
                  <w:pPr>
                    <w:pStyle w:val="OCRStyle4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אברהם שריר</w:t>
                  </w:r>
                </w:p>
                <w:p w:rsidR="00A514FC" w:rsidRDefault="00A514FC">
                  <w:pPr>
                    <w:pStyle w:val="OCRStyle4"/>
                    <w:ind w:left="28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88" o:spid="_x0000_s1038" type="#_x0000_t202" style="position:absolute;left:0;text-align:left;margin-left:315.9pt;margin-top:633.85pt;width:82.35pt;height:33.85pt;z-index:13;mso-wrap-style:none;mso-position-horizontal-relative:page;mso-position-vertical-relative:page" stroked="f">
            <v:textbox style="mso-next-textbox:#_x0000_s36788" inset="0,0,0,0">
              <w:txbxContent>
                <w:p w:rsidR="00A514FC" w:rsidRDefault="00A514FC">
                  <w:pPr>
                    <w:pStyle w:val="OCRStyle4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A514FC" w:rsidRDefault="00A514FC">
                  <w:pPr>
                    <w:pStyle w:val="OCRStyle4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89" o:spid="_x0000_s1039" type="#_x0000_t202" style="position:absolute;left:0;text-align:left;margin-left:457.65pt;margin-top:660.2pt;width:80.8pt;height:30.7pt;z-index:12;mso-wrap-style:none;mso-position-horizontal-relative:page;mso-position-vertical-relative:page" stroked="f">
            <v:textbox style="mso-next-textbox:#_x0000_s36789" inset="0,0,0,0">
              <w:txbxContent>
                <w:p w:rsidR="00A514FC" w:rsidRDefault="00A514FC">
                  <w:pPr>
                    <w:pStyle w:val="OCRStyle4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A514FC" w:rsidRDefault="00A514FC">
                  <w:pPr>
                    <w:pStyle w:val="OCRStyle4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90" o:spid="_x0000_s1040" type="#_x0000_t202" style="position:absolute;left:0;text-align:left;margin-left:85.6pt;margin-top:71.95pt;width:468.65pt;height:557.75pt;z-index:11;mso-wrap-style:none;mso-position-horizontal-relative:page;mso-position-vertical-relative:page" stroked="f">
            <v:textbox style="mso-next-textbox:#_x0000_s36790" inset="0,0,0,0">
              <w:txbxContent>
                <w:tbl>
                  <w:tblPr>
                    <w:tblW w:w="49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8"/>
                    <w:gridCol w:w="5835"/>
                    <w:gridCol w:w="1268"/>
                  </w:tblGrid>
                  <w:tr w:rsidR="00A514FC" w:rsidRPr="00A514FC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4" w:type="pct"/>
                      </w:tcPr>
                      <w:p w:rsid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68ד. מי שהופעלה נגדו השעיה על תנאי יתחיל לשאת בעונש ביום</w:t>
                        </w:r>
                      </w:p>
                      <w:p w:rsid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הצו המפעיל, זולת אם ציווה בית הדין המשמעתי על יום התחלה</w:t>
                        </w:r>
                      </w:p>
                      <w:p w:rsid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תחיית השעיה</w:t>
                        </w:r>
                      </w:p>
                      <w:p w:rsidR="00A514FC" w:rsidRP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שהופעלה</w:t>
                        </w:r>
                      </w:p>
                    </w:tc>
                  </w:tr>
                  <w:tr w:rsidR="00A514FC" w:rsidRPr="00A514FC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4" w:type="pct"/>
                      </w:tcPr>
                      <w:p w:rsid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68ה. (א) מי שנידון במשפט אחד לענשי השעיה בשל עבירות</w:t>
                        </w:r>
                      </w:p>
                      <w:p w:rsid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שונות, ולא הורה בית הדין המשמעתי שישאם, כולם או מקצתם,</w:t>
                        </w:r>
                      </w:p>
                      <w:p w:rsid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 אחר זה, לא ישא אלא את עונש ההשעיה של התקופה הארוכה</w:t>
                        </w:r>
                      </w:p>
                      <w:p w:rsid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ביותר.</w:t>
                        </w:r>
                      </w:p>
                      <w:p w:rsid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שנידון להשעיה ולפני שנשא את מלוא עונשו חזר</w:t>
                        </w:r>
                      </w:p>
                      <w:p w:rsid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ונידון להשעיה ובית הדין המשמעתי שדן אותו באחרונה לא תורה</w:t>
                        </w:r>
                      </w:p>
                      <w:p w:rsid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שישא את ענשי ההשעיה, כולם או מקצתם, בזה אחר זה, לא ישא</w:t>
                        </w:r>
                      </w:p>
                      <w:p w:rsid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עונש השעיה אחד והוא של התקופה הארוכה ביותר."</w:t>
                        </w:r>
                      </w:p>
                    </w:tc>
                    <w:tc>
                      <w:tcPr>
                        <w:tcW w:w="744" w:type="pct"/>
                      </w:tcPr>
                      <w:p w:rsidR="00A514FC" w:rsidRP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השעיה תוססת</w:t>
                        </w:r>
                      </w:p>
                    </w:tc>
                  </w:tr>
                  <w:tr w:rsidR="00A514FC" w:rsidRPr="00A514FC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A514FC" w:rsidRP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69</w:t>
                        </w:r>
                      </w:p>
                    </w:tc>
                    <w:tc>
                      <w:tcPr>
                        <w:tcW w:w="4168" w:type="pct"/>
                        <w:gridSpan w:val="2"/>
                      </w:tcPr>
                      <w:p w:rsid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69(א) לחוק העיקרי, במקום פסקה (4) יבוא:</w:t>
                        </w:r>
                      </w:p>
                      <w:p w:rsid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לחייב נאשם, בשל כל עבירה שהורשע בה, בתשלום פיצויים למתלונן</w:t>
                        </w:r>
                      </w:p>
                      <w:p w:rsid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לאדם אחר שניזוק מן העבירה, בסכום שלא יעלה על 25,000 שקלים</w:t>
                        </w:r>
                      </w:p>
                      <w:p w:rsidR="00A514FC" w:rsidRP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חדשים; חיוב כאמור אינו פוטר מאחריות לנזק על פי כל דין; "</w:t>
                        </w:r>
                      </w:p>
                    </w:tc>
                  </w:tr>
                  <w:tr w:rsidR="00A514FC" w:rsidRPr="00A514FC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A514FC" w:rsidRP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70</w:t>
                        </w:r>
                      </w:p>
                    </w:tc>
                    <w:tc>
                      <w:tcPr>
                        <w:tcW w:w="4168" w:type="pct"/>
                        <w:gridSpan w:val="2"/>
                      </w:tcPr>
                      <w:p w:rsid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70 לחוק העיקרי, במקום "וכן רשאי לערער היועץ" יבוא "וכן רשאים</w:t>
                        </w:r>
                      </w:p>
                      <w:p w:rsidR="00A514FC" w:rsidRP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הועד המרכזי והיועץ", ובמקום "היה קובל" יבוא "היו קובלים".</w:t>
                        </w:r>
                      </w:p>
                    </w:tc>
                  </w:tr>
                  <w:tr w:rsidR="00A514FC" w:rsidRPr="00A514FC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A514FC" w:rsidRP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71</w:t>
                        </w:r>
                      </w:p>
                    </w:tc>
                    <w:tc>
                      <w:tcPr>
                        <w:tcW w:w="4168" w:type="pct"/>
                        <w:gridSpan w:val="2"/>
                      </w:tcPr>
                      <w:p w:rsid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71 לחוק העיקרי, במקום "וכן רשאי לערער כאמור היועץ" יבוא "וכן</w:t>
                        </w:r>
                      </w:p>
                      <w:p w:rsidR="00A514FC" w:rsidRP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לערער כאמור הועד המרכזי והיועץ", ובמקום "היה קובל" יבוא "היו קובלים".</w:t>
                        </w:r>
                      </w:p>
                    </w:tc>
                  </w:tr>
                  <w:tr w:rsidR="00A514FC" w:rsidRPr="00A514FC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A514FC" w:rsidRP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73</w:t>
                        </w:r>
                      </w:p>
                    </w:tc>
                    <w:tc>
                      <w:tcPr>
                        <w:tcW w:w="4168" w:type="pct"/>
                        <w:gridSpan w:val="2"/>
                      </w:tcPr>
                      <w:p w:rsid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73 לחוק העיקרי, במקום "לפי סעיף 69(5)" יבוא "לפי סעיף 69 (א) (4)</w:t>
                        </w:r>
                      </w:p>
                      <w:p w:rsidR="00A514FC" w:rsidRP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(5)".</w:t>
                        </w:r>
                      </w:p>
                    </w:tc>
                  </w:tr>
                  <w:tr w:rsidR="00A514FC" w:rsidRPr="00A514FC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A514FC" w:rsidRP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91</w:t>
                        </w:r>
                      </w:p>
                    </w:tc>
                    <w:tc>
                      <w:tcPr>
                        <w:tcW w:w="4168" w:type="pct"/>
                        <w:gridSpan w:val="2"/>
                      </w:tcPr>
                      <w:p w:rsid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91 לחוק העיקרי, במקום חרישה המסתיימת במלים "המפורשות בסעיף 20"</w:t>
                        </w:r>
                      </w:p>
                      <w:p w:rsid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"יפוי-כוח שניתן בישראל לעורך דין לפעול בתחום הפעולות שיש להן קשר לשירות</w:t>
                        </w:r>
                      </w:p>
                      <w:p w:rsidR="00A514FC" w:rsidRP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המקצועי שנותן עורך דין ללקוח".</w:t>
                        </w:r>
                      </w:p>
                    </w:tc>
                  </w:tr>
                  <w:tr w:rsidR="00A514FC" w:rsidRPr="00A514FC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הוראות</w:t>
                        </w:r>
                      </w:p>
                      <w:p w:rsidR="00A514FC" w:rsidRP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המעבר מתשמ"ה</w:t>
                        </w:r>
                      </w:p>
                    </w:tc>
                    <w:tc>
                      <w:tcPr>
                        <w:tcW w:w="4168" w:type="pct"/>
                        <w:gridSpan w:val="2"/>
                      </w:tcPr>
                      <w:p w:rsid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7 לחוק לשכת עורכי הדין (תיקון מסי 14), התשמ"ה-1985 3, בסיפה,</w:t>
                        </w:r>
                      </w:p>
                      <w:p w:rsid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"תסתיים ההתמחות כעבור שמונה עשר חדשים לאחר" יבוא "לא תעלה ההתמחות</w:t>
                        </w:r>
                      </w:p>
                      <w:p w:rsidR="00A514FC" w:rsidRP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שמונה עשר חדשים מיום".</w:t>
                        </w:r>
                      </w:p>
                    </w:tc>
                  </w:tr>
                  <w:tr w:rsidR="00A514FC" w:rsidRPr="00A514FC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A514FC" w:rsidRP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החילה</w:t>
                        </w:r>
                      </w:p>
                    </w:tc>
                    <w:tc>
                      <w:tcPr>
                        <w:tcW w:w="4168" w:type="pct"/>
                        <w:gridSpan w:val="2"/>
                      </w:tcPr>
                      <w:p w:rsidR="00A514FC" w:rsidRP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תחילתו של סעיף 21 ביום כי באב התשמ"ה (7 באוגוסט 1985).</w:t>
                        </w:r>
                      </w:p>
                    </w:tc>
                  </w:tr>
                  <w:tr w:rsidR="00A514FC" w:rsidRPr="00A514FC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A514FC" w:rsidRP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168" w:type="pct"/>
                        <w:gridSpan w:val="2"/>
                      </w:tcPr>
                      <w:p w:rsid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לענין סעיפים 7 ו-8 לא תבוא בחשבון תקופת כהונה של חבר בית דין משמעתי</w:t>
                        </w:r>
                      </w:p>
                      <w:p w:rsidR="00A514FC" w:rsidRPr="00A514FC" w:rsidRDefault="00A514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שקדמה לתחילתו של חוק זה.</w:t>
                        </w:r>
                      </w:p>
                    </w:tc>
                  </w:tr>
                </w:tbl>
                <w:p w:rsidR="00A514FC" w:rsidRDefault="00A514F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91B2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1B2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BBFFBBA-34A3-40DE-A312-E75A98A8C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91B2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B519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110699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A514F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2008-04-07T02:41:00Z</dcterms:created>
  <dcterms:modified xsi:type="dcterms:W3CDTF">2008-04-07T02:41:00Z</dcterms:modified>
</cp:coreProperties>
</file>