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73F7" w:rsidRDefault="00FB73F7">
      <w:pPr>
        <w:rPr>
          <w:rtl/>
        </w:rPr>
      </w:pPr>
    </w:p>
    <w:p w:rsidR="00FB73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902" inset="0,0,0,0">
              <w:txbxContent>
                <w:p w:rsidR="00FB73F7" w:rsidRDefault="00FB73F7">
                  <w:r>
                    <w:rPr>
                      <w:rtl/>
                    </w:rPr>
                    <w:t>42                                          ספר החוקים 1207                   י"א באדר התשמ"ז 12.03.1987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3" o:spid="_x0000_s1026" type="#_x0000_t202" style="position:absolute;left:0;text-align:left;margin-left:92.15pt;margin-top:709.2pt;width:170.1pt;height:26.35pt;z-index:7;mso-wrap-style:none;mso-position-horizontal-relative:page;mso-position-vertical-relative:page" stroked="f">
            <v:textbox style="mso-next-textbox:#_x0000_s36903" inset="0,0,0,0">
              <w:txbxContent>
                <w:p w:rsidR="00FB73F7" w:rsidRDefault="00FB73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04" o:spid="_x0000_s1027" type="#_x0000_t202" style="position:absolute;left:0;text-align:left;margin-left:96.3pt;margin-top:524.5pt;width:388.65pt;height:50.3pt;z-index:6;mso-wrap-style:none;mso-position-horizontal-relative:page;mso-position-vertical-relative:page" stroked="f">
            <v:textbox style="mso-next-textbox:#_x0000_s36904" inset="0,0,0,0">
              <w:txbxContent>
                <w:p w:rsidR="00FB73F7" w:rsidRDefault="00FB73F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באדר התשמ"ו (10 במרס 1937) ; הצעת החוק ודברי הסבר פורסמו בה"ח 1820, התשמ''ז,</w:t>
                  </w:r>
                </w:p>
                <w:p w:rsidR="00FB73F7" w:rsidRDefault="00FB73F7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עמ' 182.</w:t>
                  </w:r>
                </w:p>
                <w:p w:rsidR="00FB73F7" w:rsidRDefault="00FB73F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1 ס''ח התש"י, עמ' 162; התשמ''ב, עמ' 272.</w:t>
                  </w:r>
                </w:p>
                <w:p w:rsidR="00FB73F7" w:rsidRPr="00FB73F7" w:rsidRDefault="00FB73F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2 ס"ח התשכ"ח, עמ' 108; התשמ"ו, עמ' .208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5" o:spid="_x0000_s1028" type="#_x0000_t202" style="position:absolute;left:0;text-align:left;margin-left:130.95pt;margin-top:441.9pt;width:84.15pt;height:33.85pt;z-index:5;mso-wrap-style:none;mso-position-horizontal-relative:page;mso-position-vertical-relative:page" stroked="f">
            <v:textbox style="mso-next-textbox:#_x0000_s36905" inset="0,0,0,0">
              <w:txbxContent>
                <w:p w:rsidR="00FB73F7" w:rsidRDefault="00FB73F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B73F7" w:rsidRDefault="00FB73F7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6" o:spid="_x0000_s1029" type="#_x0000_t202" style="position:absolute;left:0;text-align:left;margin-left:241.45pt;margin-top:446.85pt;width:94.25pt;height:26.55pt;z-index:4;mso-wrap-style:none;mso-position-horizontal-relative:page;mso-position-vertical-relative:page" stroked="f">
            <v:textbox style="mso-next-textbox:#_x0000_s36906" inset="0,0,0,0">
              <w:txbxContent>
                <w:p w:rsidR="00FB73F7" w:rsidRDefault="00FB73F7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B73F7" w:rsidRDefault="00FB73F7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7" o:spid="_x0000_s1030" type="#_x0000_t202" style="position:absolute;left:0;text-align:left;margin-left:376.85pt;margin-top:472.4pt;width:82.35pt;height:37.2pt;z-index:3;mso-wrap-style:none;mso-position-horizontal-relative:page;mso-position-vertical-relative:page" stroked="f">
            <v:textbox style="mso-next-textbox:#_x0000_s36907" inset="0,0,0,0">
              <w:txbxContent>
                <w:p w:rsidR="00FB73F7" w:rsidRDefault="00FB73F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B73F7" w:rsidRDefault="00FB73F7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8" o:spid="_x0000_s1031" type="#_x0000_t202" style="position:absolute;left:0;text-align:left;margin-left:91.35pt;margin-top:118.6pt;width:457.95pt;height:308.5pt;z-index:2;mso-wrap-style:none;mso-position-horizontal-relative:page;mso-position-vertical-relative:page" stroked="f">
            <v:textbox style="mso-next-textbox:#_x0000_s36908" inset="0,0,0,0">
              <w:txbxContent>
                <w:tbl>
                  <w:tblPr>
                    <w:tblW w:w="48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141"/>
                  </w:tblGrid>
                  <w:tr w:rsidR="00FB73F7" w:rsidRPr="00FB73F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FB73F7" w:rsidRDefault="00FB73F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 לחוק משפחות חיילים שנספו במערכה (תגמולים ושיקום), התש"י-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  1(להלן - החוק העיקרי) -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(ד) - בטל;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(ה) יסומן (ד) ובו, לפני "וכן לאלמנה של נספה" יבוא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לאלמנה של נספה כל עוד אינה זכאית לתגמול לפי סעיפים קטנים (ב) ו-(ג)</w:t>
                        </w:r>
                      </w:p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האמור בסעיף 9 (ג)'/</w:t>
                        </w:r>
                      </w:p>
                    </w:tc>
                    <w:tc>
                      <w:tcPr>
                        <w:tcW w:w="685" w:type="pct"/>
                      </w:tcPr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FB73F7" w:rsidRPr="00FB73F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(ז) לחוק העיקרי, במקום הסיפה המתחילה במלים "כל עוד הוא נצרך"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"כל עוד לא נישא לאחר וכל עוד הכנסתו קטנה מהתגמול המשולם לשכול לפי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- זכאי לתגמול בשיעור ההפרש שבין הכנסתו לבין התגמול לפי סעיף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(ב); לענין זה, "הכנסתו" -? הכנסתו מכל מקור שהוא לרבות קיצבת ויקנה לפי חוק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[נוסח משולב], התשכ"ח-21968, ולרבות תשלומים תקופתיים המתקבלים</w:t>
                        </w:r>
                      </w:p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כפיצוי על נזקי בריאות שנגרמו מחמת רדיפות הנאצים".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B73F7" w:rsidRPr="00FB73F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29א (ב) לחוק העיקרי, בסופו יבוא:</w:t>
                        </w:r>
                      </w:p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"הגיע ילדו של נספה לגיל 30 וטרם נכנס בברית הנישואין, רשאי קצין</w:t>
                        </w:r>
                      </w:p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לשלם לו 80% מסכום המענק כאמור בסעיף קטן (א)."</w:t>
                        </w:r>
                      </w:p>
                    </w:tc>
                    <w:tc>
                      <w:tcPr>
                        <w:tcW w:w="685" w:type="pct"/>
                      </w:tcPr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א29</w:t>
                        </w:r>
                      </w:p>
                    </w:tc>
                  </w:tr>
                  <w:tr w:rsidR="00FB73F7" w:rsidRPr="00FB73F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הוראות סעיף 2 לא יחולו על מי שהיה זכאי לתגמול על פי סעיף 10 (ז) לחוק</w:t>
                        </w:r>
                      </w:p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כנוסחו לפני תחילתו של חוק זה.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FB73F7" w:rsidRPr="00FB73F7" w:rsidRDefault="00FB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FB73F7" w:rsidRDefault="00FB73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09" o:spid="_x0000_s1032" type="#_x0000_t202" style="position:absolute;left:0;text-align:left;margin-left:108pt;margin-top:66.5pt;width:362.95pt;height:41.4pt;z-index:1;mso-wrap-style:none;mso-position-horizontal-relative:page;mso-position-vertical-relative:page" stroked="f">
            <v:textbox style="mso-next-textbox:#_x0000_s36909" inset="0,0,0,0">
              <w:txbxContent>
                <w:p w:rsidR="00FB73F7" w:rsidRDefault="00FB73F7">
                  <w:pPr>
                    <w:pStyle w:val="OCRStyle1"/>
                    <w:ind w:left="22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משפחות חיילים שנספו במערכה (תגמולים ושיקום) (תיקון מס' 16),</w:t>
                  </w:r>
                </w:p>
                <w:p w:rsidR="00FB73F7" w:rsidRPr="00FB73F7" w:rsidRDefault="00FB73F7">
                  <w:pPr>
                    <w:pStyle w:val="OCRStyle1"/>
                    <w:ind w:left="258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73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4B6D0C-410E-45BE-8539-05A2747D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73F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2008-04-07T02:42:00Z</dcterms:created>
  <dcterms:modified xsi:type="dcterms:W3CDTF">2008-04-07T02:42:00Z</dcterms:modified>
</cp:coreProperties>
</file>