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28CE" w:rsidRDefault="00D828CE">
      <w:pPr>
        <w:rPr>
          <w:rtl/>
        </w:rPr>
      </w:pPr>
    </w:p>
    <w:p w:rsidR="00D828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92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920" inset="0,0,0,0">
              <w:txbxContent>
                <w:p w:rsidR="00D828CE" w:rsidRDefault="00D828CE">
                  <w:r>
                    <w:rPr>
                      <w:rtl/>
                    </w:rPr>
                    <w:t>48                                          ספר החוקים 1208                   כ"ה באדר התשמ"ז 26.03.1987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21" o:spid="_x0000_s1026" type="#_x0000_t202" style="position:absolute;left:0;text-align:left;margin-left:330.8pt;margin-top:711.5pt;width:215.25pt;height:31.3pt;z-index:7;mso-wrap-style:none;mso-position-horizontal-relative:page;mso-position-vertical-relative:page" stroked="f">
            <v:textbox style="mso-next-textbox:#_x0000_s36921" inset="0,0,0,0">
              <w:txbxContent>
                <w:p w:rsidR="00D828CE" w:rsidRDefault="00D828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22" o:spid="_x0000_s1027" type="#_x0000_t202" style="position:absolute;left:0;text-align:left;margin-left:90.65pt;margin-top:580.2pt;width:404.3pt;height:60.2pt;z-index:6;mso-wrap-style:none;mso-position-horizontal-relative:page;mso-position-vertical-relative:page" stroked="f">
            <v:textbox style="mso-next-textbox:#_x0000_s36922" inset="0,0,0,0">
              <w:txbxContent>
                <w:p w:rsidR="00D828CE" w:rsidRDefault="00D828CE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טי'ז באדר התשמ"</w:t>
                  </w:r>
                  <w:r>
                    <w:rPr>
                      <w:rtl/>
                    </w:rPr>
                    <w:tab/>
                    <w:t>ז (17 במרס 1987): הצעת החוק ודברי הסבר פורסמו בה''ח 1812. התשמ"ז, עמ'</w:t>
                  </w:r>
                </w:p>
                <w:p w:rsidR="00D828CE" w:rsidRDefault="00D828CE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106</w:t>
                  </w:r>
                </w:p>
                <w:p w:rsidR="00D828CE" w:rsidRDefault="00D828CE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 ס"ח התשי''ז, עמ' 63.</w:t>
                  </w:r>
                </w:p>
                <w:p w:rsidR="00D828CE" w:rsidRPr="00D828CE" w:rsidRDefault="00D828CE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 xml:space="preserve"> ס"ח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23" o:spid="_x0000_s1028" type="#_x0000_t202" style="position:absolute;left:0;text-align:left;margin-left:107.25pt;margin-top:511.7pt;width:103.75pt;height:41.4pt;z-index:5;mso-wrap-style:none;mso-position-horizontal-relative:page;mso-position-vertical-relative:page" stroked="f">
            <v:textbox style="mso-next-textbox:#_x0000_s36923" inset="0,0,0,0">
              <w:txbxContent>
                <w:p w:rsidR="00D828CE" w:rsidRDefault="00D828CE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D828CE" w:rsidRDefault="00D828CE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24" o:spid="_x0000_s1029" type="#_x0000_t202" style="position:absolute;left:0;text-align:left;margin-left:240.7pt;margin-top:520pt;width:94.25pt;height:34.65pt;z-index:4;mso-wrap-style:none;mso-position-horizontal-relative:page;mso-position-vertical-relative:page" stroked="f">
            <v:textbox style="mso-next-textbox:#_x0000_s36924" inset="0,0,0,0">
              <w:txbxContent>
                <w:p w:rsidR="00D828CE" w:rsidRDefault="00D828C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828CE" w:rsidRDefault="00D828CE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25" o:spid="_x0000_s1030" type="#_x0000_t202" style="position:absolute;left:0;text-align:left;margin-left:373.55pt;margin-top:547.15pt;width:88.3pt;height:29.7pt;z-index:3;mso-wrap-style:none;mso-position-horizontal-relative:page;mso-position-vertical-relative:page" stroked="f">
            <v:textbox style="mso-next-textbox:#_x0000_s36925" inset="0,0,0,0">
              <w:txbxContent>
                <w:p w:rsidR="00D828CE" w:rsidRDefault="00D828CE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828CE" w:rsidRDefault="00D828CE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26" o:spid="_x0000_s1031" type="#_x0000_t202" style="position:absolute;left:0;text-align:left;margin-left:93.2pt;margin-top:96.9pt;width:461.15pt;height:403.35pt;z-index:2;mso-wrap-style:none;mso-position-horizontal-relative:page;mso-position-vertical-relative:page" stroked="f">
            <v:textbox style="mso-next-textbox:#_x0000_s36926" inset="0,0,0,0">
              <w:txbxContent>
                <w:tbl>
                  <w:tblPr>
                    <w:tblW w:w="4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6"/>
                    <w:gridCol w:w="1296"/>
                  </w:tblGrid>
                  <w:tr w:rsidR="00D828CE" w:rsidRPr="00D828C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828CE" w:rsidRDefault="00D828C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קיבוצי" לרבות צו הרחבה לפי חוק הסכמים קיבוציים, התשי"ז 1957 1, ולרבות הסדר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קיבוצי: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"גיל פרישה" הגיל שבהגיעם אליו חייבים עובד או עובדת לפרוש מעבודתם בהתאם להוראות</w:t>
                        </w:r>
                      </w:p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 החל עליהם.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D828CE" w:rsidRPr="00D828C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נקבע בהסכם קיבוצי גיל פרישה לעובדת הנמוך מגיל פרישה שנקבע בו לעובד, תהא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לעובדת זכות, על אף האמור באותו הסכם קיבוצי, לפרוש מעבודתה בכל גיל שבין גיל הפרישה</w:t>
                        </w:r>
                      </w:p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ובין גיל הפרישה שנקבע לעובד.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 לפרישת</w:t>
                        </w:r>
                      </w:p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עובדת מעבידה </w:t>
                        </w:r>
                      </w:p>
                    </w:tc>
                  </w:tr>
                  <w:tr w:rsidR="00D828CE" w:rsidRPr="00D828C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שר העבודה והרווחה רשאי בתקנות, באישור ועדת העבודה והרווחה של הכנסת.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הוראות בדבר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מסירת הודעות מאת המעביד ומאת העובדת לגבי מועד פרישת העובדת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מעבודתה-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תוצאות אי מסירת הודעות כאמור בפסקה (1), או מסירתן באיחור, לרבות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 תשלום סכומים המגיעים לעובדת מכוח כל דין או הסכם קיבוצי עקב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פרישתה מהעבודה, ובלבד שדחיה כאמור לא תעלה על התקופה שנקבעה בתקנות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למתן הודעה מאת העובדת.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הוראות לפי סעיף קטן (א)(2), יבואו הוראות אלה במקום כל תרופה העומדת</w:t>
                        </w:r>
                      </w:p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למעביד כלפי העובדת בשל אי מסירת הודעה לגבי מועד פרישתה מהעבודה או מסירתה באיחור.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הודעות</w:t>
                        </w:r>
                      </w:p>
                    </w:tc>
                  </w:tr>
                  <w:tr w:rsidR="00D828CE" w:rsidRPr="00D828C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בכפוף לאמור בסעיף 3 אין חוק זה בא למעט מכל זכות הנתונה לעובדת לפי חוק, הסכם</w:t>
                        </w:r>
                      </w:p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קיבוצי, חוזה עבודה, תקנון של קופת גמל או נוהג; לענין חוק זה, "קופת גמל" - כמשמעותה</w:t>
                        </w:r>
                      </w:p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127נג לחוק הביטוח הלאומי, התשכ"ח-1968 2.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זכייית</w:t>
                        </w:r>
                      </w:p>
                    </w:tc>
                  </w:tr>
                  <w:tr w:rsidR="00D828CE" w:rsidRPr="00D828C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העבודה והרווחה ממונה על ביצוע חוק זה והוא רשאי להתקין תקנות בכל ענין הנוגע</w:t>
                        </w:r>
                      </w:p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D828CE" w:rsidRPr="00D828CE" w:rsidRDefault="00D828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828CE" w:rsidRDefault="00D828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27" o:spid="_x0000_s1032" type="#_x0000_t202" style="position:absolute;left:0;text-align:left;margin-left:134.4pt;margin-top:71.15pt;width:324.15pt;height:24.75pt;z-index:1;mso-wrap-style:none;mso-position-horizontal-relative:page;mso-position-vertical-relative:page" stroked="f">
            <v:textbox style="mso-next-textbox:#_x0000_s36927" inset="0,0,0,0">
              <w:txbxContent>
                <w:p w:rsidR="00D828CE" w:rsidRPr="00D828CE" w:rsidRDefault="00D828CE">
                  <w:pPr>
                    <w:pStyle w:val="OCRStyle1"/>
                    <w:ind w:left="6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גיל פרישה שווה לעובדת ולעובד, התשמ"ז-1987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28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3AFD80-0750-4348-A6DE-90E035CD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28C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2008-04-07T02:42:00Z</dcterms:created>
  <dcterms:modified xsi:type="dcterms:W3CDTF">2008-04-07T02:42:00Z</dcterms:modified>
</cp:coreProperties>
</file>