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21DD" w:rsidRDefault="004B21DD">
      <w:pPr>
        <w:rPr>
          <w:rtl/>
        </w:rPr>
      </w:pPr>
    </w:p>
    <w:p w:rsidR="004B21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949" inset="0,0,0,0">
              <w:txbxContent>
                <w:p w:rsidR="00981942" w:rsidRDefault="00981942">
                  <w:r>
                    <w:rPr>
                      <w:rtl/>
                    </w:rPr>
                    <w:t>124                                         ספר החוקים 1217                 כ"ב בסיוון התשמ"ז 19.06.1987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0" o:spid="_x0000_s1026" type="#_x0000_t202" style="position:absolute;left:0;text-align:left;margin-left:83.75pt;margin-top:667pt;width:415pt;height:72.45pt;z-index:3;mso-wrap-style:none;mso-position-horizontal-relative:page;mso-position-vertical-relative:page" stroked="f">
            <v:textbox style="mso-next-textbox:#_x0000_s36950" inset="0,0,0,0">
              <w:txbxContent>
                <w:p w:rsidR="00981942" w:rsidRDefault="0098194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י"ג בסיון התשמ"ז (10 ביוני 1987) ; הצעת החוק ודברי הסבר פורסמו בה"ח 1820,</w:t>
                  </w:r>
                </w:p>
                <w:p w:rsidR="00981942" w:rsidRDefault="00981942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התשמ"ז, .עמ' 184.</w:t>
                  </w:r>
                </w:p>
                <w:p w:rsidR="00981942" w:rsidRPr="004B21DD" w:rsidRDefault="0098194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התש"ל, עמ' 65; התשמ"ו,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1" o:spid="_x0000_s1027" type="#_x0000_t202" style="position:absolute;left:0;text-align:left;margin-left:99.4pt;margin-top:95.2pt;width:463.7pt;height:571.65pt;z-index:2;mso-wrap-style:none;mso-position-horizontal-relative:page;mso-position-vertical-relative:page" stroked="f">
            <v:textbox style="mso-next-textbox:#_x0000_s36951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7"/>
                    <w:gridCol w:w="1319"/>
                    <w:gridCol w:w="1165"/>
                  </w:tblGrid>
                  <w:tr w:rsidR="00981942" w:rsidRPr="004B21D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981942" w:rsidRDefault="009819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המדינה (גמלאות) [נוסח משולב], התש"ל-1970 1 (להלן - החוק</w:t>
                        </w:r>
                      </w:p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סעיף 22א - בטל.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22א</w:t>
                        </w:r>
                      </w:p>
                    </w:tc>
                  </w:tr>
                  <w:tr w:rsidR="00981942" w:rsidRPr="004B21D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25 (3) לחוק העיקרי, במקום "22א" יבוא "63ב".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981942" w:rsidRPr="004B21D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(א) (2) (א) לחוק העיקרי, במקום "עובד בשירותי המודיעין והבטחון"</w:t>
                        </w:r>
                      </w:p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"עובד שירותי הבטחון כמשמעותו בסעיף 63א".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981942" w:rsidRPr="004B21DD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63 לחוק העיקרי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ג' נ</w:t>
                        </w: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ג'1: הוראות מיוחדות בענין עובדי שירותי הבטחון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בפרק זה -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הבטחון" - שירות הבטחון הכללי או המוסד למודיעין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ולתפקידים מיוחדים;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שירותי הבטחון" - עובד המדינה בשירותי הבטחון;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בשירותי הבטחון" - שירות של עובד שירותי הבטחון בשירותי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63ב. (א) לזכאי לקצבת פרישה לפי סעיף 15 (2), (3) או (4), לסי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(1) או לפי סעיף 18, שהיה עובד שירותי הבטחון בתכוף לפני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המזכה אותו לקצבה, ישולם, בנוסף לקצבה, מענק השווה לחלק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העשרים וארבעה של משכורתו השנתית כפול במספר שנות שירותו,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שהמענק לא יעלה על משכורתו השנתית וסעיף 22 לא יחול.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פוטר אדם כאמור בסעיף קטן (א) על פי החלטת בית הדין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בלי שנפסל לשירות, רשאי בית הדין להחליט שאינו זכאי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למענק, כולו או מקצתו.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נוסף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לעובר</w:t>
                        </w:r>
                      </w:p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הבטחון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63ג. (א) מי שפרש מהשירות כעובד שירותי הבטחון, תובא בחשבון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לענין חוק זה, תקופת שירות החובה שקדמה לשירותו,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שירת בשירותי הבטחון עשר שנים לפחות.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"שירות חובה" - כמשמעותו בסעיף 79א (ב).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שבחשבון תקופת שירותו כלולה תקופת שירות חובה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והוא זכאי לקצבת פרישה, תשולם לו, על אף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20 (א), קצבה לפי כל שנות שירותו גם אם תעלה על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 ממשכורתו הקובעת ובלבד שלא תעלה על שיעור זה בסכום השווה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השש מאות ממשכורתו הקובעת כפול במספר החדשים של שירות</w:t>
                        </w:r>
                      </w:p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כאמור.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שירות</w:t>
                        </w:r>
                      </w:p>
                      <w:p w:rsidR="00981942" w:rsidRPr="004B21DD" w:rsidRDefault="00981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1942" w:rsidRDefault="00981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81942" w:rsidRDefault="009819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52" o:spid="_x0000_s1028" type="#_x0000_t202" style="position:absolute;left:0;text-align:left;margin-left:123.35pt;margin-top:75.4pt;width:360.55pt;height:19.8pt;z-index:1;mso-wrap-style:none;mso-position-horizontal-relative:page;mso-position-vertical-relative:page" stroked="f">
            <v:textbox style="mso-next-textbox:#_x0000_s36952" inset="0,0,0,0">
              <w:txbxContent>
                <w:p w:rsidR="00981942" w:rsidRPr="004B21DD" w:rsidRDefault="00981942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(גמלאות) (תיקון מס' 25), התשמ"ז- 1987*</w:t>
                  </w:r>
                </w:p>
              </w:txbxContent>
            </v:textbox>
            <w10:wrap anchorx="page" anchory="page"/>
          </v:shape>
        </w:pict>
      </w:r>
    </w:p>
    <w:p w:rsidR="0047716A" w:rsidRDefault="0047716A">
      <w:pPr>
        <w:rPr>
          <w:rtl/>
        </w:rPr>
      </w:pPr>
      <w:r>
        <w:rPr>
          <w:rtl/>
        </w:rPr>
        <w:br w:type="page"/>
      </w:r>
    </w:p>
    <w:p w:rsidR="0047716A" w:rsidRDefault="00000000">
      <w:pPr>
        <w:rPr>
          <w:rtl/>
        </w:rPr>
      </w:pPr>
      <w:r>
        <w:pict>
          <v:shape id="_x0000_s3695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953" inset="0,0,0,0">
              <w:txbxContent>
                <w:p w:rsidR="00981942" w:rsidRDefault="00981942">
                  <w:r>
                    <w:rPr>
                      <w:rtl/>
                    </w:rPr>
                    <w:t>125                                         ספר החוקים 1217                 כ"ב בסיוון התשמ"ז 19.06.1987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4" o:spid="_x0000_s1030" type="#_x0000_t202" style="position:absolute;left:0;text-align:left;margin-left:337.7pt;margin-top:677.15pt;width:213.65pt;height:56.05pt;z-index:6;mso-wrap-style:none;mso-position-horizontal-relative:page;mso-position-vertical-relative:page" stroked="f">
            <v:textbox style="mso-next-textbox:#_x0000_s36954" inset="0,0,0,0">
              <w:txbxContent>
                <w:p w:rsidR="00981942" w:rsidRPr="0047716A" w:rsidRDefault="00981942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2 ס"ח התשמ"ה, עמ' 142; התשמ"ז,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5" o:spid="_x0000_s1031" type="#_x0000_t202" style="position:absolute;left:0;text-align:left;margin-left:129pt;margin-top:65.7pt;width:426.5pt;height:611.25pt;z-index:5;mso-wrap-style:none;mso-position-horizontal-relative:page;mso-position-vertical-relative:page" stroked="f">
            <v:textbox style="mso-next-textbox:#_x0000_s36955" inset="0,0,0,0">
              <w:txbxContent>
                <w:tbl>
                  <w:tblPr>
                    <w:tblW w:w="45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0"/>
                    <w:gridCol w:w="1534"/>
                  </w:tblGrid>
                  <w:tr w:rsidR="00981942" w:rsidRPr="0047716A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63ד. סעיף 20 ייקרא לגבי עובד שירותי הכמהין כאילו -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"כשהוא בכה" בא "בין כמשמעותו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ובין כמשמעותו בחוק הנכים" ,-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בא: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עובד שירותי הבטחון הזכאי לקצבת פרישה בשל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פיטוריו מחמת נכות, כמשמעותה בחוק הנכים, שלקה בה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בשירותי הבטחון ודרגת נכותו היא שלושים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וחמשה אחוזים או יותר, הברירה בידו לבחור באחת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לפי סעיף קטן (א);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קצבה של עשרים וחמשה אחוזים ממשכורתו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זכאי כאמור שדרגת נכותו היא ששים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יותר, קצבתו ביחד עם התגמולים המגיעים לו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הנכים לא יפחתו מחמשים אחוזים ממשכורתו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הקובעת."</w:t>
                        </w:r>
                      </w:p>
                    </w:tc>
                    <w:tc>
                      <w:tcPr>
                        <w:tcW w:w="989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קצבת</w:t>
                        </w:r>
                      </w:p>
                      <w:p w:rsidR="00981942" w:rsidRPr="0047716A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</w:t>
                        </w:r>
                      </w:p>
                    </w:tc>
                  </w:tr>
                  <w:tr w:rsidR="00981942" w:rsidRPr="0047716A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63ה. סעיף 34 (ג) ייקרא לגבי עובד שירותי הבטחון כאילו בסופו בא: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מי שבחר בקצבה לפי סעיף 20 (ד) (2) או שהוא זכאי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לפי סעיף 23 לחוק שירות הקבע בצבא-הגנה לישראל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(גמלאות) [נוסח משולב], התשמ"ה-21985 (להלן - חוק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 בצה"ל), יהיה רשאי לקבל את מלוא התגמולים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לקצבה לפי סעיפים אלה ואין רואים קצבה זר כהכנסה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חוקי השיקום."</w:t>
                        </w:r>
                      </w:p>
                    </w:tc>
                    <w:tc>
                      <w:tcPr>
                        <w:tcW w:w="989" w:type="pct"/>
                      </w:tcPr>
                      <w:p w:rsidR="00981942" w:rsidRPr="0047716A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ותגמול</w:t>
                        </w:r>
                      </w:p>
                    </w:tc>
                  </w:tr>
                  <w:tr w:rsidR="00981942" w:rsidRPr="0047716A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63ו. סעיף 61 ייקרא לגבי עובד שירותי הבטחון כאילו כרישה,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"דרגת נכותו" בא "לרבות נכות כמשמעותה בחוק הנכים".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981942" w:rsidRPr="0047716A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נכות</w:t>
                        </w:r>
                      </w:p>
                    </w:tc>
                  </w:tr>
                  <w:tr w:rsidR="00981942" w:rsidRPr="0047716A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63ז. (א) חוק הנכים יחול על עובד שירותי הבטחון, בתיאומים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שנקבעו בסעיף קטן (ב) וביתר הוראות סרק זה.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כל מקום בחוק הנכים שמדובר בו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בחייל, בחייל המשרת בצבא-הגנה לישראל על פי התחייבות לשירות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קבע, בשירות או בשירות צבאי, ייקרא כאילו מדובר בעובד שירותי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או בשירות בשירותי הבטחון, הכל לפי הענין.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981942" w:rsidRPr="0047716A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נכה</w:t>
                        </w:r>
                      </w:p>
                    </w:tc>
                  </w:tr>
                  <w:tr w:rsidR="00981942" w:rsidRPr="0047716A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63ח. (א) חוק משפחות החיילים יחול על עובד שירותי הבטחון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ועל בני משפחתו של עובד שירותי הבטחון שנפטר, בתיאומים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שנקבעו בסעיף קטן (ב) וביתר הוראות פרק זה.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כל מקום בחוק משפחות החיילים</w:t>
                        </w:r>
                      </w:p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בחייל, בשירות או בשירות צבאי, ייקרא כאילו מדובר</w:t>
                        </w:r>
                      </w:p>
                      <w:p w:rsidR="00981942" w:rsidRPr="0047716A" w:rsidRDefault="00981942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 שירותי הבטחון או בשירות בשירותי הבטחון, הכל לפי העניו.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981942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משפחת</w:t>
                        </w:r>
                      </w:p>
                      <w:p w:rsidR="00981942" w:rsidRPr="0047716A" w:rsidRDefault="009819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נספה</w:t>
                        </w:r>
                      </w:p>
                    </w:tc>
                  </w:tr>
                </w:tbl>
                <w:p w:rsidR="00981942" w:rsidRDefault="009819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45B5" w:rsidRDefault="004D45B5">
      <w:pPr>
        <w:rPr>
          <w:rtl/>
        </w:rPr>
      </w:pPr>
      <w:r>
        <w:rPr>
          <w:rtl/>
        </w:rPr>
        <w:br w:type="page"/>
      </w:r>
    </w:p>
    <w:p w:rsidR="004D45B5" w:rsidRDefault="00000000">
      <w:pPr>
        <w:rPr>
          <w:rtl/>
        </w:rPr>
      </w:pPr>
      <w:r>
        <w:pict>
          <v:shape id="_x0000_s3695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956" inset="0,0,0,0">
              <w:txbxContent>
                <w:p w:rsidR="00981942" w:rsidRDefault="00981942">
                  <w:r>
                    <w:rPr>
                      <w:rtl/>
                    </w:rPr>
                    <w:t>126                                         ספר החוקים 1217                 כ"ב בסיוון התשמ"ז 19.06.1987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7" o:spid="_x0000_s1033" type="#_x0000_t202" style="position:absolute;left:0;text-align:left;margin-left:91.4pt;margin-top:695.8pt;width:188.9pt;height:38.8pt;z-index:10;mso-wrap-style:none;mso-position-horizontal-relative:page;mso-position-vertical-relative:page" stroked="f">
            <v:textbox style="mso-next-textbox:#_x0000_s36957" inset="0,0,0,0">
              <w:txbxContent>
                <w:p w:rsidR="00981942" w:rsidRDefault="009819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958" o:spid="_x0000_s1034" type="#_x0000_t202" style="position:absolute;left:0;text-align:left;margin-left:352.2pt;margin-top:660.4pt;width:137pt;height:51.3pt;z-index:9;mso-wrap-style:none;mso-position-horizontal-relative:page;mso-position-vertical-relative:page" stroked="f">
            <v:textbox style="mso-next-textbox:#_x0000_s36958" inset="0,0,0,0">
              <w:txbxContent>
                <w:p w:rsidR="00981942" w:rsidRDefault="00981942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3 ס''ח התשכ"ח, עמ' 108.</w:t>
                  </w:r>
                </w:p>
                <w:p w:rsidR="00981942" w:rsidRDefault="00981942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4 ס"ח התשמ"א, עמ' .163</w:t>
                  </w:r>
                </w:p>
                <w:p w:rsidR="00981942" w:rsidRPr="004D45B5" w:rsidRDefault="00981942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5 ס"ח התשמ"א, עמ' .165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9" o:spid="_x0000_s1035" type="#_x0000_t202" style="position:absolute;left:0;text-align:left;margin-left:87.45pt;margin-top:63.2pt;width:469.25pt;height:597.15pt;z-index:8;mso-wrap-style:none;mso-position-horizontal-relative:page;mso-position-vertical-relative:page" stroked="f">
            <v:textbox style="mso-next-textbox:#_x0000_s36959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0"/>
                    <w:gridCol w:w="1102"/>
                    <w:gridCol w:w="1350"/>
                  </w:tblGrid>
                  <w:tr w:rsidR="00981942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63ט. כל חיקוק שבו מדובר בחוק הנכים או בחוק משפחות החיילים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כאילו מדובר בו גם בסעיפים 63ז ו-63ח.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אזכורים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63י. כל חיקוק המעניק או הנותן סמכות להעניק זכות יתר, פטור,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מלא או חלקי מחובה המוטלת על פי דין או עדיפות או זכות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הניתנים לחייל נכה כמשמעותו בחוק הנכים או לבן משפחה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חייל שנספה כמשמעותו בחוק משפחות החיילים, רואים אותו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כמעניק או כנותן סמכות להעניק אותם גם לעובד שירותי הבטחון</w:t>
                        </w:r>
                      </w:p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נכה או לבן משפחה של עובד שירותי הבטחון שנספה.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יתר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63יא. לענין סעיף 3 לחוק משפחות החיילים, הרשות הצבאית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המוסמכת, לגבי עובד שירותי הבטחון שנעדר תהיה מי ששר האוצר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מינהו לענין סעיף זה.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שנעדר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81942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63יב. עובד שירותי הבטחון שנפטר בזמן שירותו בשירותי הבטחון,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ושאיריו זכאים מחמת פטירתו לתגמולים לפי חוק משפחות החיילים,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השאירים הוראות סעיפים 23, 23א, 26, 27, 28, 29 ו-32 (ה)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שירות הקבע בצה"ל, בתיאומים המחוייבים לפי הענין."</w:t>
                        </w:r>
                      </w:p>
                    </w:tc>
                    <w:tc>
                      <w:tcPr>
                        <w:tcW w:w="646" w:type="pct"/>
                      </w:tcPr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ישאירים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81942" w:rsidRPr="004D45B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79א לחוק העיקרי, במקום סעיף קטן (א) יבוא: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שפרש מהשירות כשוטר, תובא בחשבון תקופת שירותו לענין חוק זה</w:t>
                        </w:r>
                      </w:p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 החובה שקדמה לשירותו, אם שירת במשטרה עשר שנים לפחות."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79א</w:t>
                        </w:r>
                      </w:p>
                    </w:tc>
                  </w:tr>
                  <w:tr w:rsidR="00981942" w:rsidRPr="004D45B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הביטוח הלאומי [נוסח משולב], התשכ"ח-1968 3- -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31 (א) (1), במקום "למעט שוטר כמשמעותו בחוק המשטרה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(נכים ונספים), התשט"ו-1955, וסוהר כמשמעותו בחוק שירות בתי הסוהר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(נכים ונספים), התש"ך-1960" יבוא "למעט שוטר כמשמעותו בחוק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(נכים ונספים), התשמ"א-41981, סוהר כמשמעותו בחוק שירות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(נכים ונספים), התשמ"א-1981 5, וכן עובד שירותי הבטחון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63א לחוק שירות המדינה (גמלאות) ונוסח משולב],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התש"ל-1970";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145 -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"חוק המשטרה (נכים ונספים), התשט"ו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- 1955, או חוק שירות בתי הסוהר (נכים ונספים), התש"ך-1960"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"חוק המשטרה (נכים ונספים), התשמ"א-1981, חוק שירות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(נכים ונספים), התשמ"א-1981, או סעיפים 63ז ו-63ח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שירות המדינה (גמלאות) [נוסח משולב], התש"ל-1970";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אחרי פסקה (3) יבוא:</w:t>
                        </w:r>
                      </w:p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''(4) סעיפים 63ז ו-63ח לחוק שירות המדינה (גמלאות) [נוסח</w:t>
                        </w:r>
                      </w:p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התש"ל-1970; 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981942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81942" w:rsidRPr="004D45B5" w:rsidRDefault="009819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</w:tr>
                </w:tbl>
                <w:p w:rsidR="00981942" w:rsidRDefault="009819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81942" w:rsidRDefault="00981942">
      <w:pPr>
        <w:rPr>
          <w:rtl/>
        </w:rPr>
      </w:pPr>
      <w:r>
        <w:rPr>
          <w:rtl/>
        </w:rPr>
        <w:br w:type="page"/>
      </w:r>
    </w:p>
    <w:p w:rsidR="00981942" w:rsidRDefault="00000000">
      <w:pPr>
        <w:rPr>
          <w:rtl/>
        </w:rPr>
      </w:pPr>
      <w:r>
        <w:pict>
          <v:shape id="_x0000_s36960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960" inset="0,0,0,0">
              <w:txbxContent>
                <w:p w:rsidR="00981942" w:rsidRDefault="00981942">
                  <w:r>
                    <w:rPr>
                      <w:rtl/>
                    </w:rPr>
                    <w:t>127                                         ספר החוקים 1217                 כ"ב בסיוון התשמ"ז 19.06.1987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61" o:spid="_x0000_s1037" type="#_x0000_t202" style="position:absolute;left:0;text-align:left;margin-left:167.3pt;margin-top:332.9pt;width:130.3pt;height:42.95pt;z-index:15;mso-wrap-style:none;mso-position-horizontal-relative:page;mso-position-vertical-relative:page" stroked="f">
            <v:textbox style="mso-next-textbox:#_x0000_s36961" inset="0,0,0,0">
              <w:txbxContent>
                <w:p w:rsidR="00981942" w:rsidRDefault="00981942">
                  <w:pPr>
                    <w:pStyle w:val="OCRStyle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981942" w:rsidRDefault="00981942">
                  <w:pPr>
                    <w:pStyle w:val="OCRStyle4"/>
                    <w:ind w:left="90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62" o:spid="_x0000_s1038" type="#_x0000_t202" style="position:absolute;left:0;text-align:left;margin-left:300.75pt;margin-top:339.4pt;width:109.9pt;height:37.2pt;z-index:14;mso-wrap-style:none;mso-position-horizontal-relative:page;mso-position-vertical-relative:page" stroked="f">
            <v:textbox style="mso-next-textbox:#_x0000_s36962" inset="0,0,0,0">
              <w:txbxContent>
                <w:p w:rsidR="00981942" w:rsidRDefault="00981942">
                  <w:pPr>
                    <w:pStyle w:val="OCRStyle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81942" w:rsidRDefault="00981942">
                  <w:pPr>
                    <w:pStyle w:val="OCRStyle4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63" o:spid="_x0000_s1039" type="#_x0000_t202" style="position:absolute;left:0;text-align:left;margin-left:432.8pt;margin-top:364.35pt;width:108.1pt;height:37.8pt;z-index:13;mso-wrap-style:none;mso-position-horizontal-relative:page;mso-position-vertical-relative:page" stroked="f">
            <v:textbox style="mso-next-textbox:#_x0000_s36963" inset="0,0,0,0">
              <w:txbxContent>
                <w:p w:rsidR="00981942" w:rsidRDefault="00981942">
                  <w:pPr>
                    <w:pStyle w:val="OCRStyle4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81942" w:rsidRDefault="00981942">
                  <w:pPr>
                    <w:pStyle w:val="OCRStyle4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64" o:spid="_x0000_s1040" type="#_x0000_t202" style="position:absolute;left:0;text-align:left;margin-left:112.65pt;margin-top:64.8pt;width:438.95pt;height:260.75pt;z-index:12;mso-wrap-style:none;mso-position-horizontal-relative:page;mso-position-vertical-relative:page" stroked="f">
            <v:textbox style="mso-next-textbox:#_x0000_s36964" inset="0,0,0,0">
              <w:txbxContent>
                <w:tbl>
                  <w:tblPr>
                    <w:tblW w:w="46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2"/>
                    <w:gridCol w:w="7049"/>
                  </w:tblGrid>
                  <w:tr w:rsidR="00981942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6" w:type="pct"/>
                      </w:tcPr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108 (א), אחרי פסקה (3) יבוא: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תגמולים לפי סעיפים 63ז ו-63ח לחוק שירות המדינה (גמלאות)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התש"ל-1970".</w:t>
                        </w:r>
                      </w:p>
                    </w:tc>
                  </w:tr>
                  <w:tr w:rsidR="00981942" w:rsidRPr="00981942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981942" w:rsidRP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16" w:type="pct"/>
                      </w:tcPr>
                      <w:p w:rsidR="00981942" w:rsidRP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ב-1 בחודש שלאחר פרסומו (להלן - יום התחילה).</w:t>
                        </w:r>
                      </w:p>
                    </w:tc>
                  </w:tr>
                  <w:tr w:rsidR="00981942" w:rsidRPr="00981942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981942" w:rsidRP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416" w:type="pct"/>
                      </w:tcPr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סעיפים 63ד עד 63יב לחוק העיקרי, שהוספו בחוק זה, יחולו, בשינויים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לגבי עובד שירותי הבטחון שלפני יום התחילה נעשה נכה כאמור בחוק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או נספה כאמור בחוק משפחות החיילים, ואולם לא יינתנו לפי חוק זה תגמול,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הענקה, מענק או טובת הנאה אחרת (בסעיף זה - תגמול) בעד התקופה שקדמה ליום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לתגמול מכוח הוראות סעיף קטן (א), תוגש תוך ששה חדשים מיום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התחילה, אף אם כבר התיישנה הזכות להגישה לפי חוק הנכים או לפי חוק משפחות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החיילים*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שנעשה זכאי לתגמול מכוח הוראות סעיף קטן (א), והוא זכאי עקב אותו</w:t>
                        </w:r>
                      </w:p>
                      <w:p w:rsid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מאורע לגמלה לפי חוק הביטוח הלאומי, הברירה בידו לבחור באחד מהם עד תום ששה</w:t>
                        </w:r>
                      </w:p>
                      <w:p w:rsidR="00981942" w:rsidRPr="00981942" w:rsidRDefault="009819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מהיום שבו הודע לו כי נעשה זכאי לתגמול כאמור.</w:t>
                        </w:r>
                      </w:p>
                    </w:tc>
                  </w:tr>
                </w:tbl>
                <w:p w:rsidR="00981942" w:rsidRDefault="009819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21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C67DE5-ADED-4164-AB60-61CDBA17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21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716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D45B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819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2008-04-07T02:48:00Z</dcterms:created>
  <dcterms:modified xsi:type="dcterms:W3CDTF">2008-04-07T02:48:00Z</dcterms:modified>
</cp:coreProperties>
</file>