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179C" w:rsidRDefault="0085179C">
      <w:pPr>
        <w:rPr>
          <w:rtl/>
        </w:rPr>
      </w:pPr>
    </w:p>
    <w:p w:rsidR="008517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9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999" inset="0,0,0,0">
              <w:txbxContent>
                <w:p w:rsidR="009C3F9E" w:rsidRDefault="009C3F9E">
                  <w:r>
                    <w:rPr>
                      <w:rtl/>
                    </w:rPr>
                    <w:t>152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00" o:spid="_x0000_s1026" type="#_x0000_t202" style="position:absolute;left:0;text-align:left;margin-left:72.05pt;margin-top:649.2pt;width:429.85pt;height:86.7pt;z-index:3;mso-wrap-style:none;mso-position-horizontal-relative:page;mso-position-vertical-relative:page" stroked="f">
            <v:textbox style="mso-next-textbox:#_x0000_s37000" inset="0,0,0,0">
              <w:txbxContent>
                <w:p w:rsidR="009C3F9E" w:rsidRDefault="009C3F9E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ביים כ''ג בתמוז התשמ''ז (20 ביולי 1987); הצעת והחוק ודברי הסבר פורסמו בהית 1621,</w:t>
                  </w:r>
                </w:p>
                <w:p w:rsidR="009C3F9E" w:rsidRDefault="009C3F9E">
                  <w:pPr>
                    <w:pStyle w:val="OCRStyle1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התשמ''ז, עמ' 190.</w:t>
                  </w:r>
                </w:p>
                <w:p w:rsidR="009C3F9E" w:rsidRDefault="009C3F9E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 xml:space="preserve">1 ס"ח התשט"ו, עמ' 171; התשמ''ז, עמ' 84. </w:t>
                  </w:r>
                </w:p>
                <w:p w:rsidR="009C3F9E" w:rsidRDefault="009C3F9E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2 ס''ח התשמ"ו, עמ' 1107; התשמ"ז, עמ' .84</w:t>
                  </w:r>
                </w:p>
                <w:p w:rsidR="009C3F9E" w:rsidRPr="0085179C" w:rsidRDefault="009C3F9E">
                  <w:pPr>
                    <w:pStyle w:val="OCRStyle1"/>
                    <w:ind w:left="619"/>
                  </w:pPr>
                  <w:r>
                    <w:rPr>
                      <w:rtl/>
                    </w:rPr>
                    <w:t>3 ס"ח התשל"ז, עמ' 226; התשמ''ז, עמ' .80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01" o:spid="_x0000_s1027" type="#_x0000_t202" style="position:absolute;left:0;text-align:left;margin-left:80.95pt;margin-top:100.55pt;width:483.5pt;height:547.85pt;z-index:2;mso-wrap-style:none;mso-position-horizontal-relative:page;mso-position-vertical-relative:page" stroked="f">
            <v:textbox style="mso-next-textbox:#_x0000_s37001" inset="0,0,0,0">
              <w:txbxContent>
                <w:tbl>
                  <w:tblPr>
                    <w:tblW w:w="51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9"/>
                    <w:gridCol w:w="1030"/>
                    <w:gridCol w:w="1572"/>
                  </w:tblGrid>
                  <w:tr w:rsidR="009C3F9E" w:rsidRPr="0085179C">
                    <w:trPr>
                      <w:jc w:val="right"/>
                    </w:trPr>
                    <w:tc>
                      <w:tcPr>
                        <w:tcW w:w="4106" w:type="pct"/>
                        <w:gridSpan w:val="2"/>
                      </w:tcPr>
                      <w:p w:rsidR="009C3F9E" w:rsidRDefault="009C3F9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השיפוט הצבאי, התשט"ו-1955 1 ( להלן - החוק העיקרי), בהגדרת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"חייל", בפסקאות (1) ו-(2), במקום "חוק שירות בטחון, התש"ט--1949" יבוא "חוק</w:t>
                        </w:r>
                      </w:p>
                      <w:p w:rsidR="009C3F9E" w:rsidRPr="0085179C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 [נוסח משולב], התשמ"ו-21986 ".</w:t>
                        </w:r>
                      </w:p>
                    </w:tc>
                    <w:tc>
                      <w:tcPr>
                        <w:tcW w:w="894" w:type="pct"/>
                      </w:tcPr>
                      <w:p w:rsidR="009C3F9E" w:rsidRPr="0085179C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C3F9E" w:rsidRPr="0085179C">
                    <w:trPr>
                      <w:jc w:val="right"/>
                    </w:trPr>
                    <w:tc>
                      <w:tcPr>
                        <w:tcW w:w="4106" w:type="pct"/>
                        <w:gridSpan w:val="2"/>
                      </w:tcPr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במקום "בפקודת החוק הפלילי, 1936" יבוא "בחוק</w:t>
                        </w:r>
                      </w:p>
                      <w:p w:rsidR="009C3F9E" w:rsidRPr="0085179C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התשל"ז-1977".3</w:t>
                        </w:r>
                      </w:p>
                    </w:tc>
                    <w:tc>
                      <w:tcPr>
                        <w:tcW w:w="894" w:type="pct"/>
                      </w:tcPr>
                      <w:p w:rsidR="009C3F9E" w:rsidRPr="0085179C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9C3F9E" w:rsidRPr="0085179C">
                    <w:trPr>
                      <w:jc w:val="right"/>
                    </w:trPr>
                    <w:tc>
                      <w:tcPr>
                        <w:tcW w:w="4106" w:type="pct"/>
                        <w:gridSpan w:val="2"/>
                      </w:tcPr>
                      <w:p w:rsidR="009C3F9E" w:rsidRPr="0085179C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17 לחוק העיקרי יבוא:</w:t>
                        </w:r>
                      </w:p>
                    </w:tc>
                    <w:tc>
                      <w:tcPr>
                        <w:tcW w:w="894" w:type="pct"/>
                      </w:tcPr>
                      <w:p w:rsidR="009C3F9E" w:rsidRPr="0085179C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</w:t>
                        </w:r>
                      </w:p>
                    </w:tc>
                  </w:tr>
                  <w:tr w:rsidR="009C3F9E">
                    <w:trPr>
                      <w:jc w:val="right"/>
                    </w:trPr>
                    <w:tc>
                      <w:tcPr>
                        <w:tcW w:w="3520" w:type="pct"/>
                      </w:tcPr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הוראות הסעיפים בחוק העונשץ, התשל"ז-1977, המנויים להלן,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לגבי עבירות צבאיות, בתיאומים המחוייבים לפי הענין: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 (אי ידיעת הדין);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 (תביעת זכות בתום לב);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 (כוונה);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16 (מניע);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17 (טעות בעובדה)?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 (חזקת שפיות);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 (אי שפיות);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20 (שכרות);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21 (כורח);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22 (צורך);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23 (הגנה על רשות שופטת);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24 (צידוק);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 (עוברי העבירה);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28 (עבירה במהלך השגת מטרה משותפת);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29 (היקף האחריות של יועץ);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32 (דין המנסה) ;י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33 (נסיון - מהו) ;</w:t>
                        </w:r>
                      </w:p>
                      <w:p w:rsidR="009C3F9E" w:rsidRPr="0085179C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260 (מסייע לאחר מעשה)."</w:t>
                        </w:r>
                      </w:p>
                    </w:tc>
                    <w:tc>
                      <w:tcPr>
                        <w:tcW w:w="586" w:type="pct"/>
                      </w:tcPr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''תחולת חוק</w:t>
                        </w:r>
                      </w:p>
                      <w:p w:rsidR="009C3F9E" w:rsidRPr="0085179C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</w:t>
                        </w:r>
                      </w:p>
                    </w:tc>
                    <w:tc>
                      <w:tcPr>
                        <w:tcW w:w="894" w:type="pct"/>
                      </w:tcPr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C3F9E" w:rsidRPr="0085179C">
                    <w:trPr>
                      <w:jc w:val="right"/>
                    </w:trPr>
                    <w:tc>
                      <w:tcPr>
                        <w:tcW w:w="4106" w:type="pct"/>
                        <w:gridSpan w:val="2"/>
                      </w:tcPr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32 לחוק העיקרי, במקום סעיף קטן (ג) יבוא: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יטיל בית דין צבאי בשל עבירה נוספת עונש שכולו על תנאי; אולם</w:t>
                        </w:r>
                      </w:p>
                      <w:p w:rsidR="009C3F9E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על הנאשם תלוי ועומד אותה שעה מחבוש על תנאי בלבד, רשאי בית הדץ</w:t>
                        </w:r>
                      </w:p>
                      <w:p w:rsidR="009C3F9E" w:rsidRPr="0085179C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בשל עבירה נוספת מאסר שכולו או חלקו על תנאי."</w:t>
                        </w:r>
                      </w:p>
                    </w:tc>
                    <w:tc>
                      <w:tcPr>
                        <w:tcW w:w="894" w:type="pct"/>
                      </w:tcPr>
                      <w:p w:rsidR="009C3F9E" w:rsidRPr="0085179C" w:rsidRDefault="009C3F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</w:tbl>
                <w:p w:rsidR="009C3F9E" w:rsidRDefault="009C3F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002" o:spid="_x0000_s1028" type="#_x0000_t202" style="position:absolute;left:0;text-align:left;margin-left:109.85pt;margin-top:76.8pt;width:325.9pt;height:22.2pt;z-index:1;mso-wrap-style:none;mso-position-horizontal-relative:page;mso-position-vertical-relative:page" stroked="f">
            <v:textbox style="mso-next-textbox:#_x0000_s37002" inset="0,0,0,0">
              <w:txbxContent>
                <w:p w:rsidR="009C3F9E" w:rsidRPr="0085179C" w:rsidRDefault="009C3F9E">
                  <w:pPr>
                    <w:pStyle w:val="OCRStyle1"/>
                    <w:ind w:left="2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השיפוט הצבאי (תיקון מס' 19), התשמ''ז-1987 *</w:t>
                  </w:r>
                </w:p>
              </w:txbxContent>
            </v:textbox>
            <w10:wrap anchorx="page" anchory="page"/>
          </v:shape>
        </w:pict>
      </w:r>
    </w:p>
    <w:p w:rsidR="00863045" w:rsidRDefault="00863045">
      <w:pPr>
        <w:rPr>
          <w:rtl/>
        </w:rPr>
      </w:pPr>
      <w:r>
        <w:rPr>
          <w:rtl/>
        </w:rPr>
        <w:br w:type="page"/>
      </w:r>
    </w:p>
    <w:p w:rsidR="00863045" w:rsidRDefault="00000000">
      <w:pPr>
        <w:rPr>
          <w:rtl/>
        </w:rPr>
      </w:pPr>
      <w:r>
        <w:pict>
          <v:shape id="_x0000_s3700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003" inset="0,0,0,0">
              <w:txbxContent>
                <w:p w:rsidR="009C3F9E" w:rsidRDefault="009C3F9E">
                  <w:r>
                    <w:rPr>
                      <w:rtl/>
                    </w:rPr>
                    <w:t>153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04" o:spid="_x0000_s1030" type="#_x0000_t202" style="position:absolute;left:0;text-align:left;margin-left:382.45pt;margin-top:681.7pt;width:168.3pt;height:51.9pt;z-index:6;mso-wrap-style:none;mso-position-horizontal-relative:page;mso-position-vertical-relative:page" stroked="f">
            <v:textbox style="mso-next-textbox:#_x0000_s37004" inset="0,0,0,0">
              <w:txbxContent>
                <w:p w:rsidR="009C3F9E" w:rsidRPr="00863045" w:rsidRDefault="009C3F9E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4 ס''ח התשמ"ב, ועמ' 43; התשמ''ז, עמ' 112.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05" o:spid="_x0000_s1031" type="#_x0000_t202" style="position:absolute;left:0;text-align:left;margin-left:102.65pt;margin-top:64.55pt;width:458.75pt;height:617.15pt;z-index:5;mso-wrap-style:none;mso-position-horizontal-relative:page;mso-position-vertical-relative:page" stroked="f">
            <v:textbox style="mso-next-textbox:#_x0000_s37005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5875"/>
                    <w:gridCol w:w="1325"/>
                  </w:tblGrid>
                  <w:tr w:rsidR="009C3F9E" w:rsidRPr="0086304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33 לחוק העיקרי, בסעיף קטן (א), במקום "167 (2)" יבוא "167'/</w:t>
                        </w:r>
                      </w:p>
                    </w:tc>
                  </w:tr>
                  <w:tr w:rsidR="009C3F9E" w:rsidRPr="0086304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41 (ב) לחוק העיקרי, במקום "בסעיף 7 לחוק סדר הדין הפלילי, התשכ"ה-</w:t>
                        </w:r>
                      </w:p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1965" יבוא "בסעיף 9 לחוק סדר הדין הפלילי [נוסח משולב], התשמ"ב- 1982".4</w:t>
                        </w:r>
                      </w:p>
                    </w:tc>
                  </w:tr>
                  <w:tr w:rsidR="009C3F9E" w:rsidRPr="0086304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42 לחוק העיקרי, במקום "סעיף 8 לחוק סדר הדין הפלילי, התשכ"ה-</w:t>
                        </w:r>
                      </w:p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1965" יבוא "סעיף 10 לחוק סדר הדין הפלילי [נוסח משולב], התשמ"ב-1982".</w:t>
                        </w:r>
                      </w:p>
                    </w:tc>
                  </w:tr>
                  <w:tr w:rsidR="009C3F9E" w:rsidRPr="0086304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75 לחוק העיקרי, במקום "סעיף 152 (1) (א) לפקודת החוק הפלילי, 1936"</w:t>
                        </w:r>
                      </w:p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"סעיף 345 לחוק העונשין, התשל"ז-1977".</w:t>
                        </w:r>
                      </w:p>
                    </w:tc>
                  </w:tr>
                  <w:tr w:rsidR="009C3F9E" w:rsidRPr="0086304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77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במקום סעיף 77 לחוק העיקרי יבוא:</w:t>
                        </w:r>
                      </w:p>
                    </w:tc>
                  </w:tr>
                  <w:tr w:rsidR="009C3F9E" w:rsidRPr="0086304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2" w:type="pct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77. (א) חייל שהוציא ביודעין ושלא כדין רכוש צבאי מרשות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הצבא, דינו -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מאסר שלוש שנים - אם ערך הרכוש אינו עולה על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הקובע;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מאסר שבע שנים - אם ערך הרכוש עולה על הסכום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הקובע.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"הסכום הקובע" - סכום השוות לעשרה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שיעורים של שכר יסוד חדשי של טוראי בשירות חובה, כפי שהוא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ביצוע העבירה.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''הוצאת רכוש</w:t>
                        </w:r>
                      </w:p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מרשות הצבא</w:t>
                        </w:r>
                      </w:p>
                    </w:tc>
                  </w:tr>
                  <w:tr w:rsidR="009C3F9E" w:rsidRPr="0086304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78 לחוק העיקרי, במקום "עשר שנים" יבוא "חמש עשרה שנים" והסיטה</w:t>
                        </w:r>
                      </w:p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במלים "ואם היה מופקד" - תימחק.</w:t>
                        </w:r>
                      </w:p>
                    </w:tc>
                  </w:tr>
                  <w:tr w:rsidR="009C3F9E" w:rsidRPr="0086304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79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79 לחוק העיקרי -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במקום "ברכוש הצבא" יבוא "ברכוש צבאי";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(א) יבוא: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חייל שהשתמש ברכוש צבאי שלא למטרות הצבא, דינו - מאסר</w:t>
                        </w:r>
                      </w:p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שנתיים."</w:t>
                        </w:r>
                      </w:p>
                    </w:tc>
                  </w:tr>
                  <w:tr w:rsidR="009C3F9E" w:rsidRPr="0086304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80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80 לחוק העיקרי יבוא:</w:t>
                        </w:r>
                      </w:p>
                    </w:tc>
                  </w:tr>
                  <w:tr w:rsidR="009C3F9E" w:rsidRPr="00863045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2" w:type="pct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80. חייל שלא נקט במועד הנכון בכל האמצעים הסבירים כדי לשמור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מנזק, מקלקול או מאבדן כל רכוש צבאי שהגיע לרשותו או שהוא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לו בדרך אחרת, בין אם ניזוק הרכוש, נתקלקל או אבד ובין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לאו. דינו - מאסר שנה; היה הרכוש נשק, כלי טיס, כלי שיט או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תחבורה אחר, דינו - מאסר שלוש שנים."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''אי שמירתו שי</w:t>
                        </w:r>
                      </w:p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צבאי</w:t>
                        </w:r>
                      </w:p>
                    </w:tc>
                  </w:tr>
                  <w:tr w:rsidR="009C3F9E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9C3F9E" w:rsidRPr="00863045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99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99 לחוק העיקרי, במקום "בחוק שירות בטחון, התש"ט-1949" יבוא</w:t>
                        </w:r>
                      </w:p>
                      <w:p w:rsidR="009C3F9E" w:rsidRDefault="009C3F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"בחוק שירות בטחון [נוסח משולב], התשמ"ו-1986".</w:t>
                        </w:r>
                      </w:p>
                    </w:tc>
                  </w:tr>
                </w:tbl>
                <w:p w:rsidR="009C3F9E" w:rsidRDefault="009C3F9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E78BE" w:rsidRDefault="000E78BE">
      <w:pPr>
        <w:rPr>
          <w:rtl/>
        </w:rPr>
      </w:pPr>
      <w:r>
        <w:rPr>
          <w:rtl/>
        </w:rPr>
        <w:br w:type="page"/>
      </w:r>
    </w:p>
    <w:p w:rsidR="000E78BE" w:rsidRDefault="00000000">
      <w:pPr>
        <w:rPr>
          <w:rtl/>
        </w:rPr>
      </w:pPr>
      <w:r>
        <w:pict>
          <v:shape id="_x0000_s37006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006" inset="0,0,0,0">
              <w:txbxContent>
                <w:p w:rsidR="009C3F9E" w:rsidRDefault="009C3F9E">
                  <w:r>
                    <w:rPr>
                      <w:rtl/>
                    </w:rPr>
                    <w:t>154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07" o:spid="_x0000_s1033" type="#_x0000_t202" style="position:absolute;left:0;text-align:left;margin-left:80.25pt;margin-top:704.55pt;width:167.5pt;height:33.05pt;z-index:10;mso-wrap-style:none;mso-position-horizontal-relative:page;mso-position-vertical-relative:page" stroked="f">
            <v:textbox style="mso-next-textbox:#_x0000_s37007" inset="0,0,0,0">
              <w:txbxContent>
                <w:p w:rsidR="009C3F9E" w:rsidRDefault="009C3F9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008" o:spid="_x0000_s1034" type="#_x0000_t202" style="position:absolute;left:0;text-align:left;margin-left:318.65pt;margin-top:685.5pt;width:165.9pt;height:31.5pt;z-index:9;mso-wrap-style:none;mso-position-horizontal-relative:page;mso-position-vertical-relative:page" stroked="f">
            <v:textbox style="mso-next-textbox:#_x0000_s37008" inset="0,0,0,0">
              <w:txbxContent>
                <w:p w:rsidR="009C3F9E" w:rsidRPr="000E78BE" w:rsidRDefault="009C3F9E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5 דיני מדינת ישראל, נוסח חדש 12,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09" o:spid="_x0000_s1035" type="#_x0000_t202" style="position:absolute;left:0;text-align:left;margin-left:84.4pt;margin-top:63.6pt;width:465.3pt;height:617.95pt;z-index:8;mso-wrap-style:none;mso-position-horizontal-relative:page;mso-position-vertical-relative:page" stroked="f">
            <v:textbox style="mso-next-textbox:#_x0000_s37009" inset="0,0,0,0">
              <w:txbxContent>
                <w:tbl>
                  <w:tblPr>
                    <w:tblW w:w="4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8"/>
                    <w:gridCol w:w="1229"/>
                    <w:gridCol w:w="1335"/>
                  </w:tblGrid>
                  <w:tr w:rsidR="009C3F9E" w:rsidRPr="000E78BE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157 לחוק העיקרי, במקום סעיף קטן (ו) יבוא:</w:t>
                        </w:r>
                      </w:p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לא יטיל קצין שיפוט בשל עבירה נוספת עונש מחבוש שכולו על תנאי."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157</w:t>
                        </w:r>
                      </w:p>
                    </w:tc>
                  </w:tr>
                  <w:tr w:rsidR="009C3F9E" w:rsidRPr="000E78BE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209א (א) (1) לחוק העיקרי, במקום "סעיף 218 לפקודת החוק הפלילי,</w:t>
                        </w:r>
                      </w:p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1936" יבוא "סעיף 304 לחוק העונשין, התשל"ז-1977".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209א</w:t>
                        </w:r>
                      </w:p>
                    </w:tc>
                  </w:tr>
                  <w:tr w:rsidR="009C3F9E" w:rsidRPr="000E78BE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230 לחוק העיקרי, במקום "פקודת הפרוצדורה הפלילית (מאסר וחיפושים)"</w:t>
                        </w:r>
                      </w:p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"פקודת סדר הדין הפלילי (מעצר וחיפוש) [נוסח משולב], התשכ"ט-1969 5".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230</w:t>
                        </w:r>
                      </w:p>
                    </w:tc>
                  </w:tr>
                  <w:tr w:rsidR="009C3F9E" w:rsidRPr="000E78BE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243א לחוק העיקרי, במקום סעיף קטן (ב) יבוא:</w:t>
                        </w:r>
                      </w:p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שחרור בערבות לפי סעיף זה יחולו סעיפים 33 עד 49 לחוק סדר</w:t>
                        </w:r>
                      </w:p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 [נוסח משולב], התשמ"ב-1982, אולם הסמכויות המסורות לפי</w:t>
                        </w:r>
                      </w:p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האמורים לבית המשפט שלערעור ולבית המשפט העליון יהיו, לענין</w:t>
                        </w:r>
                      </w:p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בידי שופט צבאי-משפטאי של בית דין צבאי מחוזי, של בית דין</w:t>
                        </w:r>
                      </w:p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מיוחד ושל בית הדין הצבאי לערעורים."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243א</w:t>
                        </w:r>
                      </w:p>
                    </w:tc>
                  </w:tr>
                  <w:tr w:rsidR="009C3F9E" w:rsidRPr="000E78BE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243ב לחוק העיקרי, במקום "סעיפים 46 עד 49 לחוק סדר הדין הפלילי,</w:t>
                        </w:r>
                      </w:p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התשכ"ה-1965" יבוא "סעיפים 51 עד 54 לחוק סדר הדין הפלילי [נוסח משולב],</w:t>
                        </w:r>
                      </w:p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התשמ"ב-1982" ובמקום "בסעיף 49 לאותו חוק" יבוא "בסעיף 54 לאותו חוק".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243ב</w:t>
                        </w:r>
                      </w:p>
                    </w:tc>
                  </w:tr>
                  <w:tr w:rsidR="009C3F9E" w:rsidRPr="000E78BE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245 (א) לחוק העיקרי, במקום "על פי הסעיפים 16 ו-17 לפקודת הפרוצדורה</w:t>
                        </w:r>
                      </w:p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(מאסר וחיפושים)" יבוא "לפי סעיפים 23 ו-24 לפקודת סדר הדין הפלילי</w:t>
                        </w:r>
                      </w:p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(מעצר וחיפוש) [נוסח חדש], התשכ"ט-1969".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245</w:t>
                        </w:r>
                      </w:p>
                    </w:tc>
                  </w:tr>
                  <w:tr w:rsidR="009C3F9E" w:rsidRPr="000E78BE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247 לחוק העיקרי, במקום "לפי סעיף 18 לפקודת הפרוצדורה הפלילית</w:t>
                        </w:r>
                      </w:p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(מאסר וחיפושים)" יבוא "לפי סעיף 25 לפקודת סדר הדין הפלילי (מעצר וחיפוש)</w:t>
                        </w:r>
                      </w:p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התשכ"ט-1969".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סעיף 247</w:t>
                        </w:r>
                      </w:p>
                    </w:tc>
                  </w:tr>
                  <w:tr w:rsidR="009C3F9E" w:rsidRPr="000E78BE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248 לחוק העיקרי, במקום "בסעיף 11 לפקודת הפרוצדורה הפלילית</w:t>
                        </w:r>
                      </w:p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(מאסר וחיפושים)" יבוא "לפי סעיף 22 לפקודת סדר הדין הפלילי (מעצר וחיפושים)</w:t>
                        </w:r>
                      </w:p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חדש], התשכ"ט-1969".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248</w:t>
                        </w:r>
                      </w:p>
                    </w:tc>
                  </w:tr>
                  <w:tr w:rsidR="009C3F9E" w:rsidRPr="000E78BE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250 לחוק העיקרי, במקום "בסעיפים 12, 20, 22, 26, 27, 28 ו-29 לפקודת</w:t>
                        </w:r>
                      </w:p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הפרוצדורה הפלילית (מאסר וחיפושים)" יבוא "סעיפים 19, 27, 29, 45, 46 ו-47 לפקודת</w:t>
                        </w:r>
                      </w:p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 (מעצר וחיפושים) [נוסח חדש], התשכ"ט-1969".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250</w:t>
                        </w:r>
                      </w:p>
                    </w:tc>
                  </w:tr>
                  <w:tr w:rsidR="009C3F9E" w:rsidRPr="000E78BE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בסעיף 260 לחוק העיקרי, בכותרת השוליים, אחרי "הקצין" יבוא "הבודק".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260</w:t>
                        </w:r>
                      </w:p>
                    </w:tc>
                  </w:tr>
                  <w:tr w:rsidR="009C3F9E" w:rsidRPr="000E78BE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במקום סעיף 261 לחוק העיקרי יבוא: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261</w:t>
                        </w:r>
                      </w:p>
                    </w:tc>
                  </w:tr>
                  <w:tr w:rsidR="009C3F9E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261. חשוד שנעצר, חייב הקצין הבודק להודיע לו מה החשד נגדו</w:t>
                        </w:r>
                      </w:p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לצלמו ולקחת טביעות אצבעותיו ככל שיידרש לצרכי</w:t>
                        </w:r>
                      </w:p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החקירה."</w:t>
                        </w:r>
                      </w:p>
                    </w:tc>
                    <w:tc>
                      <w:tcPr>
                        <w:tcW w:w="726" w:type="pct"/>
                      </w:tcPr>
                      <w:p w:rsidR="009C3F9E" w:rsidRPr="000E78BE" w:rsidRDefault="009C3F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"חשוד שנעצר</w:t>
                        </w:r>
                      </w:p>
                    </w:tc>
                    <w:tc>
                      <w:tcPr>
                        <w:tcW w:w="789" w:type="pct"/>
                      </w:tcPr>
                      <w:p w:rsidR="009C3F9E" w:rsidRDefault="009C3F9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C3F9E" w:rsidRDefault="009C3F9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34AFA" w:rsidRDefault="00034AFA">
      <w:pPr>
        <w:rPr>
          <w:rtl/>
        </w:rPr>
      </w:pPr>
      <w:r>
        <w:rPr>
          <w:rtl/>
        </w:rPr>
        <w:br w:type="page"/>
      </w:r>
    </w:p>
    <w:p w:rsidR="00034AFA" w:rsidRDefault="00000000">
      <w:pPr>
        <w:rPr>
          <w:rtl/>
        </w:rPr>
      </w:pPr>
      <w:r>
        <w:pict>
          <v:shape id="_x0000_s37010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7010" inset="0,0,0,0">
              <w:txbxContent>
                <w:p w:rsidR="009C3F9E" w:rsidRDefault="009C3F9E">
                  <w:r>
                    <w:rPr>
                      <w:rtl/>
                    </w:rPr>
                    <w:t>155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11" o:spid="_x0000_s1037" type="#_x0000_t202" style="position:absolute;left:0;text-align:left;margin-left:366.35pt;margin-top:672.45pt;width:183.15pt;height:65.15pt;z-index:13;mso-wrap-style:none;mso-position-horizontal-relative:page;mso-position-vertical-relative:page" stroked="f">
            <v:textbox style="mso-next-textbox:#_x0000_s37011" inset="0,0,0,0">
              <w:txbxContent>
                <w:p w:rsidR="009C3F9E" w:rsidRDefault="009C3F9E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6 ס''ח התשי''ח, עמ' 54.</w:t>
                  </w:r>
                </w:p>
                <w:p w:rsidR="009C3F9E" w:rsidRPr="00034AFA" w:rsidRDefault="009C3F9E">
                  <w:pPr>
                    <w:pStyle w:val="OCRStyle4"/>
                    <w:ind w:left="180"/>
                  </w:pPr>
                  <w:r>
                    <w:rPr>
                      <w:rtl/>
                    </w:rPr>
                    <w:t>7 דיני מדינת ישראל, נוסח חדש 21, עמ' .458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12" o:spid="_x0000_s1038" type="#_x0000_t202" style="position:absolute;left:0;text-align:left;margin-left:94.9pt;margin-top:63.6pt;width:456.2pt;height:608.05pt;z-index:12;mso-wrap-style:none;mso-position-horizontal-relative:page;mso-position-vertical-relative:page" stroked="f">
            <v:textbox style="mso-next-textbox:#_x0000_s37012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5729"/>
                    <w:gridCol w:w="1349"/>
                  </w:tblGrid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262 ועד 265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סעיפים 262 עד 265 לחוק העיקרי - בטלים.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סעיפים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266 ו-268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272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בסעיפים 266 ו-268 עד 272 לחוק העיקרי, בכל מקום שנאמר בו "נאשם" או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"נאשמים" יבוא "חשוד" או "חשודים", לפי הענין, והמלים "או עציר" - יימחקו,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267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במקום סעיף 267 לחוק העיקרי יבוא: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3" w:type="pct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267. וזאת האזהרה: "אתה חשוד בביצוע עבירה פלונית, האם ברצונך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לומר דבר בקשר לעבירה האמורה? אין אתה חייב לומר דבר אם אין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רצונך בכך, ואולם כל מה שתאמר יירשם ויכול לשמש ראיה במשפטו"."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"תוכן האזהרה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298א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298א (ג) לחוק העיקרי, במקום "חוק לתיקון סדרי הדין הפלילי (חקירת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פשעים וסיבות מוות), התשי"ח-1958" יבוא "חוק חקירת סיבות מוות, התשי"ח-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61958 ".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  <w:vMerge w:val="restart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373א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במקום סעיף 373א לחוק העיקרי יבוא: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  <w:vMerge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3" w:type="pct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373א. הוראות פרק ה/ סימן ר, לחוק סדר הדין הפלילי [נוסח משולב],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התשמ"ב-1982, יחולו על חקירת עדים לפני בית דין צבאי."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''תחולת חוק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440ר.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440ה לחוק העיקרי, במקום סעיף קטן (ד) יבוא: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ענין שסעיף זה חל עליו יחולו הוראות סעיפים 33 עד 49 לחוק סדר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הפלילי [נוסח משולב], התשמ"ב-1982, בכפוף להוראות סעיף זה ובתיאומים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הענין."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440ז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440ז לחוק העיקרי, במקום סעיף קטן (ב) יבוא: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פרק ו' לחוק העונשין, התשל"ז-1977, יחולו על כל ענין שסימן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חל עליו."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481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481 לחוק העיקרי, במקום "קצין במילוי תפקידו" יבוא "קצין או נגד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בכיר שמינתה רשות צבאית מוסמכת לתפקיד קצונה, במילוי תפקידם."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494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494 לחוק העיקרי, במקום "בפקודת בתי הסוהר, 1946" יבוא "בפקודת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הסוהר [נוסח חדש], התשל"ב-1971 7".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495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495 לחוק העיקרי, במקום "כמשמעותו בפקודת בתי הסוהר, 1946" יבוא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"כמשמעותו בפקודת בתי הסוהר [נוסח חדש], התשל"ב-1971".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497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במקום סעיף 497 לחוק העיקרי יבוא:</w:t>
                        </w:r>
                      </w:p>
                    </w:tc>
                  </w:tr>
                  <w:tr w:rsidR="009C3F9E" w:rsidRPr="00034AFA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3" w:type="pct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497. (א) נתחייב אדם בבית דין צבאי או בדין משמעתי לשלם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או פיצויים על נזקים לרכוש הצבא או לרכוש המדינה ולא שילמם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שנקבע לכך, יבוצע החיוב על ידי ניכוי, כפי שנקבע בתקנות,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מהכספים המגיעים לנידון מזמן לזמן עקב שירותו בצבא.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''גביית קנסות</w:t>
                        </w:r>
                      </w:p>
                      <w:p w:rsidR="009C3F9E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ופיצויים ותוספת</w:t>
                        </w:r>
                      </w:p>
                      <w:p w:rsidR="009C3F9E" w:rsidRPr="00034AFA" w:rsidRDefault="009C3F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</w:t>
                        </w:r>
                      </w:p>
                    </w:tc>
                  </w:tr>
                </w:tbl>
                <w:p w:rsidR="009C3F9E" w:rsidRDefault="009C3F9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C3F9E" w:rsidRDefault="009C3F9E">
      <w:pPr>
        <w:rPr>
          <w:rtl/>
        </w:rPr>
      </w:pPr>
      <w:r>
        <w:rPr>
          <w:rtl/>
        </w:rPr>
        <w:br w:type="page"/>
      </w:r>
    </w:p>
    <w:p w:rsidR="009C3F9E" w:rsidRDefault="00000000">
      <w:pPr>
        <w:rPr>
          <w:rtl/>
        </w:rPr>
      </w:pPr>
      <w:r>
        <w:pict>
          <v:shape id="_x0000_s37013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7013" inset="0,0,0,0">
              <w:txbxContent>
                <w:p w:rsidR="009C3F9E" w:rsidRDefault="009C3F9E">
                  <w:r>
                    <w:rPr>
                      <w:rtl/>
                    </w:rPr>
                    <w:t>156                                         ספר החוקים 1222                     י' באב התשמ"ז 05.08.1987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14" o:spid="_x0000_s1040" type="#_x0000_t202" style="position:absolute;left:0;text-align:left;margin-left:113.8pt;margin-top:197.75pt;width:118pt;height:29.7pt;z-index:18;mso-wrap-style:none;mso-position-horizontal-relative:page;mso-position-vertical-relative:page" stroked="f">
            <v:textbox style="mso-next-textbox:#_x0000_s37014" inset="0,0,0,0">
              <w:txbxContent>
                <w:p w:rsidR="009C3F9E" w:rsidRDefault="009C3F9E">
                  <w:pPr>
                    <w:pStyle w:val="OCRStyle5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C3F9E" w:rsidRDefault="009C3F9E">
                  <w:pPr>
                    <w:pStyle w:val="OCRStyle5"/>
                    <w:ind w:left="87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15" o:spid="_x0000_s1041" type="#_x0000_t202" style="position:absolute;left:0;text-align:left;margin-left:245.85pt;margin-top:197.75pt;width:87.3pt;height:36.25pt;z-index:17;mso-wrap-style:none;mso-position-horizontal-relative:page;mso-position-vertical-relative:page" stroked="f">
            <v:textbox style="mso-next-textbox:#_x0000_s37015" inset="0,0,0,0">
              <w:txbxContent>
                <w:p w:rsidR="009C3F9E" w:rsidRDefault="009C3F9E">
                  <w:pPr>
                    <w:pStyle w:val="OCRStyle5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C3F9E" w:rsidRDefault="009C3F9E">
                  <w:pPr>
                    <w:pStyle w:val="OCRStyle5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16" o:spid="_x0000_s1042" type="#_x0000_t202" style="position:absolute;left:0;text-align:left;margin-left:346.45pt;margin-top:226.65pt;width:127.9pt;height:32.1pt;z-index:16;mso-wrap-style:none;mso-position-horizontal-relative:page;mso-position-vertical-relative:page" stroked="f">
            <v:textbox style="mso-next-textbox:#_x0000_s37016" inset="0,0,0,0">
              <w:txbxContent>
                <w:p w:rsidR="009C3F9E" w:rsidRDefault="009C3F9E">
                  <w:pPr>
                    <w:pStyle w:val="OCRStyle5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C3F9E" w:rsidRDefault="009C3F9E">
                  <w:pPr>
                    <w:pStyle w:val="OCRStyle5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017" o:spid="_x0000_s1043" type="#_x0000_t202" style="position:absolute;left:0;text-align:left;margin-left:89.85pt;margin-top:68.25pt;width:472.8pt;height:127.9pt;z-index:15;mso-wrap-style:none;mso-position-horizontal-relative:page;mso-position-vertical-relative:page" stroked="f">
            <v:textbox style="mso-next-textbox:#_x0000_s37017" inset="0,0,0,0">
              <w:txbxContent>
                <w:tbl>
                  <w:tblPr>
                    <w:tblW w:w="50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5"/>
                    <w:gridCol w:w="1501"/>
                  </w:tblGrid>
                  <w:tr w:rsidR="009C3F9E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9C3F9E" w:rsidRDefault="009C3F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66 (א) ו-67 עד 70 לחוק העונשין,</w:t>
                        </w:r>
                      </w:p>
                      <w:p w:rsidR="009C3F9E" w:rsidRDefault="009C3F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התשל''ז-1977, יחולו, בשינויים המחוייבים לסי הענץ, על קנס או</w:t>
                        </w:r>
                      </w:p>
                      <w:p w:rsidR="009C3F9E" w:rsidRDefault="009C3F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שלא שולמו במועדם."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C3F9E" w:rsidRDefault="009C3F9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C3F9E" w:rsidRPr="009C3F9E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9C3F9E" w:rsidRDefault="009C3F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519א לחוק העיקרי, במקום "החוק לתיקון דיני העונשין (תקיפת שוטרים),</w:t>
                        </w:r>
                      </w:p>
                      <w:p w:rsidR="009C3F9E" w:rsidRDefault="009C3F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התשי"ב-1952" יבוא "סעיפים 273 עד 276 לחוק העונשין, התשל"ז-1977".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C3F9E" w:rsidRPr="009C3F9E" w:rsidRDefault="009C3F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519א</w:t>
                        </w:r>
                      </w:p>
                    </w:tc>
                  </w:tr>
                  <w:tr w:rsidR="009C3F9E" w:rsidRPr="009C3F9E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9C3F9E" w:rsidRPr="009C3F9E" w:rsidRDefault="009C3F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חוק זה יפורסם תוך שלושים ימים מיום קבלתו בכנסת.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9C3F9E" w:rsidRPr="009C3F9E" w:rsidRDefault="009C3F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9C3F9E" w:rsidRDefault="009C3F9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517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C56BCB-A42F-4CB0-BF84-DF2876D56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179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6304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E78B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34AF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C3F9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2008-04-07T02:50:00Z</dcterms:created>
  <dcterms:modified xsi:type="dcterms:W3CDTF">2008-04-07T02:50:00Z</dcterms:modified>
</cp:coreProperties>
</file>