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E3C52" w:rsidRDefault="00DE3C52">
      <w:pPr>
        <w:rPr>
          <w:rtl/>
        </w:rPr>
      </w:pPr>
    </w:p>
    <w:p w:rsidR="00DE3C5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07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7073" inset="0,0,0,0">
              <w:txbxContent>
                <w:p w:rsidR="00E841A0" w:rsidRDefault="00E841A0">
                  <w:r>
                    <w:rPr>
                      <w:rtl/>
                    </w:rPr>
                    <w:t>184                                         ספר החוקים 1261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074" o:spid="_x0000_s1026" type="#_x0000_t202" style="position:absolute;left:0;text-align:left;margin-left:89.85pt;margin-top:648.4pt;width:396.8pt;height:46.15pt;z-index:3;mso-wrap-style:none;mso-position-horizontal-relative:page;mso-position-vertical-relative:page" stroked="f">
            <v:textbox style="mso-next-textbox:#_x0000_s37074" inset="0,0,0,0">
              <w:txbxContent>
                <w:tbl>
                  <w:tblPr>
                    <w:tblW w:w="42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4"/>
                  </w:tblGrid>
                  <w:tr w:rsidR="00E841A0" w:rsidRPr="00DE3C5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841A0" w:rsidRDefault="00E84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נתקבל בכנסת ביום י"ג באב התשמ"ח (27 ביולי 1988) ; הצעת החוק ודברי הסבר פורסמו בה"ח 1836, התשמ"ז,</w:t>
                        </w:r>
                      </w:p>
                      <w:p w:rsidR="00E841A0" w:rsidRDefault="00E84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עמ' 263.</w:t>
                        </w:r>
                      </w:p>
                      <w:p w:rsidR="00E841A0" w:rsidRDefault="00E84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ס"ח התשמ"ב, עמ' 43: התשמ"ח, עמ' 66.</w:t>
                        </w:r>
                      </w:p>
                      <w:p w:rsidR="00E841A0" w:rsidRPr="00DE3C52" w:rsidRDefault="00E84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דיני מדינת ישראל, נוסח חדש 27, עמ' 526 ; ס"ח התשל"ט, עמ' 134.</w:t>
                        </w:r>
                      </w:p>
                    </w:tc>
                  </w:tr>
                </w:tbl>
                <w:p w:rsidR="00E841A0" w:rsidRDefault="00E841A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075" o:spid="_x0000_s1027" type="#_x0000_t202" style="position:absolute;left:0;text-align:left;margin-left:84.1pt;margin-top:77.95pt;width:467.1pt;height:569.65pt;z-index:2;mso-wrap-style:none;mso-position-horizontal-relative:page;mso-position-vertical-relative:page" stroked="f">
            <v:textbox style="mso-next-textbox:#_x0000_s37075" inset="0,0,0,0">
              <w:txbxContent>
                <w:tbl>
                  <w:tblPr>
                    <w:tblW w:w="498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53"/>
                    <w:gridCol w:w="1476"/>
                    <w:gridCol w:w="1165"/>
                  </w:tblGrid>
                  <w:tr w:rsidR="00E841A0" w:rsidRPr="00DE3C52">
                    <w:trPr>
                      <w:jc w:val="right"/>
                    </w:trPr>
                    <w:tc>
                      <w:tcPr>
                        <w:tcW w:w="4314" w:type="pct"/>
                        <w:gridSpan w:val="2"/>
                      </w:tcPr>
                      <w:p w:rsidR="00E841A0" w:rsidRDefault="00E84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21 לחוק סדר הדין הפלילי [נוסח משולב], התשמ"ב-1982 1(להלן - החוק</w:t>
                        </w:r>
                      </w:p>
                      <w:p w:rsidR="00E841A0" w:rsidRDefault="00E84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 -</w:t>
                        </w:r>
                      </w:p>
                      <w:p w:rsidR="00E841A0" w:rsidRDefault="00E84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כותרת השוליים יבוא "מעצר לפני אישום";</w:t>
                        </w:r>
                      </w:p>
                      <w:p w:rsidR="00E841A0" w:rsidRPr="00DE3C52" w:rsidRDefault="00E84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(א) והסימון של סעיף קטן (ב) - יימחקו.</w:t>
                        </w:r>
                      </w:p>
                    </w:tc>
                    <w:tc>
                      <w:tcPr>
                        <w:tcW w:w="686" w:type="pct"/>
                      </w:tcPr>
                      <w:p w:rsidR="00E841A0" w:rsidRPr="00DE3C52" w:rsidRDefault="00E84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תיקון סעיף 21</w:t>
                        </w:r>
                      </w:p>
                    </w:tc>
                  </w:tr>
                  <w:tr w:rsidR="00E841A0" w:rsidRPr="00DE3C52">
                    <w:trPr>
                      <w:jc w:val="right"/>
                    </w:trPr>
                    <w:tc>
                      <w:tcPr>
                        <w:tcW w:w="4314" w:type="pct"/>
                        <w:gridSpan w:val="2"/>
                      </w:tcPr>
                      <w:p w:rsidR="00E841A0" w:rsidRPr="00DE3C52" w:rsidRDefault="00E84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21 לחוק העיקרי יבוא:</w:t>
                        </w:r>
                      </w:p>
                    </w:tc>
                    <w:tc>
                      <w:tcPr>
                        <w:tcW w:w="686" w:type="pct"/>
                        <w:vMerge w:val="restart"/>
                      </w:tcPr>
                      <w:p w:rsidR="00E841A0" w:rsidRDefault="00E84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E841A0" w:rsidRPr="00DE3C52" w:rsidRDefault="00E84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21א עד 21ג</w:t>
                        </w:r>
                      </w:p>
                    </w:tc>
                  </w:tr>
                  <w:tr w:rsidR="00E841A0">
                    <w:trPr>
                      <w:jc w:val="right"/>
                    </w:trPr>
                    <w:tc>
                      <w:tcPr>
                        <w:tcW w:w="3445" w:type="pct"/>
                      </w:tcPr>
                      <w:p w:rsidR="00E841A0" w:rsidRDefault="00E84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21א. (א) הוגש כתב אישום, רשאי בית המשפט שלפניו הוגש, לצוות על</w:t>
                        </w:r>
                      </w:p>
                      <w:p w:rsidR="00E841A0" w:rsidRDefault="00E84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מעצרו של הנאשם אם נתקיים אחד מאלה:</w:t>
                        </w:r>
                      </w:p>
                      <w:p w:rsidR="00E841A0" w:rsidRDefault="00E84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בית המשפט סבור, על סמך החומר שהוגש לו, כי קיים יסוד</w:t>
                        </w:r>
                      </w:p>
                      <w:p w:rsidR="00E841A0" w:rsidRDefault="00E84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 לחשש ששחרור הנאשם יביא לידי שיבוש הליכי המשפט או</w:t>
                        </w:r>
                      </w:p>
                      <w:p w:rsidR="00E841A0" w:rsidRDefault="00E84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שהנאשם יימלט מן הדין, או שבשל נסיבות העבירה או מהותה קיים</w:t>
                        </w:r>
                      </w:p>
                      <w:p w:rsidR="00E841A0" w:rsidRDefault="00E84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יסוד סביר לחשש שהנאשם יסכן את חייו של אדם או בטחונו, את</w:t>
                        </w:r>
                      </w:p>
                      <w:p w:rsidR="00E841A0" w:rsidRDefault="00E84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שלום הציבור או בטחונו או את בטחון המדינה;</w:t>
                        </w:r>
                      </w:p>
                      <w:p w:rsidR="00E841A0" w:rsidRDefault="00E84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הנאשם הואשם בעבירה לפי פקודת הסמים המסוכנים [נוסח</w:t>
                        </w:r>
                      </w:p>
                      <w:p w:rsidR="00E841A0" w:rsidRDefault="00E84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חדש], התשל"ג-1973 2, למעט עבירה הנוגעת לשימוש עצמי בסם</w:t>
                        </w:r>
                      </w:p>
                      <w:p w:rsidR="00E841A0" w:rsidRDefault="00E84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להחזקת סם לשימוש עצמי, או שהואשם בעבירה שנעשתה</w:t>
                        </w:r>
                      </w:p>
                      <w:p w:rsidR="00E841A0" w:rsidRDefault="00E84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באלימות או באכזריות או תוך שימוש בנשק חם או קר או באש, או</w:t>
                        </w:r>
                      </w:p>
                      <w:p w:rsidR="00E841A0" w:rsidRDefault="00E84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בנסיון או באיום לעבור עבירה כאמור, או שהואשם בעבירה</w:t>
                        </w:r>
                      </w:p>
                      <w:p w:rsidR="00E841A0" w:rsidRDefault="00E84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שנעברה בקטין או תוך ניצול מצב המונע התנגדות מהקורבן, או</w:t>
                        </w:r>
                      </w:p>
                      <w:p w:rsidR="00E841A0" w:rsidRDefault="00E84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ניצול ליקוי נפשי או שכלי של הקרבן;</w:t>
                        </w:r>
                      </w:p>
                      <w:p w:rsidR="00E841A0" w:rsidRDefault="00E84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בית המשפט צווה על מתן ערובה לפי סעיף 33(ב) והערובה</w:t>
                        </w:r>
                      </w:p>
                      <w:p w:rsidR="00E841A0" w:rsidRDefault="00E84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ניתנה, להנחת דעתו של בית המשפט, או שהופר תנאי מתנאי</w:t>
                        </w:r>
                      </w:p>
                      <w:p w:rsidR="00E841A0" w:rsidRDefault="00E84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הערובה או שנתקיימה עילה לביטול שחרור בערובה לפי סימן ב'</w:t>
                        </w:r>
                      </w:p>
                      <w:p w:rsidR="00E841A0" w:rsidRDefault="00E84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לפרק זה.</w:t>
                        </w:r>
                      </w:p>
                      <w:p w:rsidR="00E841A0" w:rsidRDefault="00E84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יתן בית משפט צו מעצר לפי סעיף קטן (א), אלא אם נוכח לאחר</w:t>
                        </w:r>
                      </w:p>
                      <w:p w:rsidR="00E841A0" w:rsidRDefault="00E84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ששמע את הצדדים, שיש ראיות לכאורה להוכחת האשמה, ולענין סעיף קטן</w:t>
                        </w:r>
                      </w:p>
                      <w:p w:rsidR="00E841A0" w:rsidRDefault="00E84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(א)(1) ו-(2) לא יצווה בית משפט כאמור אלא אם כן נתקיימו גם אלה:</w:t>
                        </w:r>
                      </w:p>
                      <w:p w:rsidR="00E841A0" w:rsidRDefault="00E84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ניתן להשיג את מטרת המעצר בדרך של שחרור בערובה</w:t>
                        </w:r>
                      </w:p>
                      <w:p w:rsidR="00E841A0" w:rsidRDefault="00E84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ותנאי שחרור, שפגיעתם בחרותו של הנאשם חמורה פחות;</w:t>
                        </w:r>
                      </w:p>
                      <w:p w:rsidR="00E841A0" w:rsidRDefault="00E84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לנאשם יש סניגור או שהנאשם הודיע שברצונו שלא להיות</w:t>
                        </w:r>
                      </w:p>
                      <w:p w:rsidR="00E841A0" w:rsidRDefault="00E84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מיוצג בידי סניגור.</w:t>
                        </w:r>
                      </w:p>
                      <w:p w:rsidR="00E841A0" w:rsidRDefault="00E84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היה לנאשם סניגור והוא לא הודיע כאמור בסעיף קטן (ב)(2),</w:t>
                        </w:r>
                      </w:p>
                      <w:p w:rsidR="00E841A0" w:rsidRDefault="00E84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ימנה לו בית המשפט סניגור ויחולו לעניו זה הוראות פרק ב'; כל עוד לא נתמנה</w:t>
                        </w:r>
                      </w:p>
                      <w:p w:rsidR="00E841A0" w:rsidRDefault="00E84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סניגור, רשאי בית המשפט לצוות על מעצרו של הנאשם לתקופות שלא יעלו</w:t>
                        </w:r>
                      </w:p>
                      <w:p w:rsidR="00E841A0" w:rsidRDefault="00E84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שלושים ימים בכל פעם; הוראות סעיף קטן זה כאות להוסיף על הוראות</w:t>
                        </w:r>
                      </w:p>
                      <w:p w:rsidR="00E841A0" w:rsidRPr="00DE3C52" w:rsidRDefault="00E84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15.</w:t>
                        </w:r>
                      </w:p>
                    </w:tc>
                    <w:tc>
                      <w:tcPr>
                        <w:tcW w:w="869" w:type="pct"/>
                      </w:tcPr>
                      <w:p w:rsidR="00E841A0" w:rsidRDefault="00E84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"מעצר לאחר</w:t>
                        </w:r>
                      </w:p>
                      <w:p w:rsidR="00E841A0" w:rsidRPr="00DE3C52" w:rsidRDefault="00E84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אישום</w:t>
                        </w:r>
                      </w:p>
                    </w:tc>
                    <w:tc>
                      <w:tcPr>
                        <w:tcW w:w="686" w:type="pct"/>
                        <w:vMerge/>
                      </w:tcPr>
                      <w:p w:rsidR="00E841A0" w:rsidRDefault="00E841A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E841A0" w:rsidRDefault="00E841A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076" o:spid="_x0000_s1028" type="#_x0000_t202" style="position:absolute;left:0;text-align:left;margin-left:134.2pt;margin-top:56.15pt;width:292.65pt;height:21.6pt;z-index:1;mso-wrap-style:none;mso-position-horizontal-relative:page;mso-position-vertical-relative:page" stroked="f">
            <v:textbox style="mso-next-textbox:#_x0000_s37076" inset="0,0,0,0">
              <w:txbxContent>
                <w:tbl>
                  <w:tblPr>
                    <w:tblW w:w="31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322"/>
                  </w:tblGrid>
                  <w:tr w:rsidR="00E841A0" w:rsidRPr="00DE3C5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841A0" w:rsidRPr="00DE3C52" w:rsidRDefault="00E841A0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חוק סדר הדין הפלילי (תיקון מס' 9), התשמ"ח-1988*</w:t>
                        </w:r>
                      </w:p>
                    </w:tc>
                  </w:tr>
                </w:tbl>
                <w:p w:rsidR="00E841A0" w:rsidRDefault="00E841A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E841A0" w:rsidRDefault="00E841A0">
      <w:pPr>
        <w:rPr>
          <w:rtl/>
        </w:rPr>
      </w:pPr>
      <w:r>
        <w:rPr>
          <w:rtl/>
        </w:rPr>
        <w:br w:type="page"/>
      </w:r>
    </w:p>
    <w:p w:rsidR="00E841A0" w:rsidRDefault="00000000">
      <w:pPr>
        <w:rPr>
          <w:rtl/>
        </w:rPr>
      </w:pPr>
      <w:r>
        <w:pict>
          <v:shape id="_x0000_s37077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7077" inset="0,0,0,0">
              <w:txbxContent>
                <w:p w:rsidR="00E841A0" w:rsidRDefault="00E841A0">
                  <w:r>
                    <w:rPr>
                      <w:rtl/>
                    </w:rPr>
                    <w:t>185                                         ספר החוקים 1261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078" o:spid="_x0000_s1030" type="#_x0000_t202" style="position:absolute;left:0;text-align:left;margin-left:443.5pt;margin-top:543.55pt;width:105.75pt;height:16.25pt;z-index:9;mso-wrap-style:none;mso-position-horizontal-relative:page;mso-position-vertical-relative:page" stroked="f">
            <v:textbox style="mso-next-textbox:#_x0000_s37078" inset="0,0,0,0">
              <w:txbxContent>
                <w:tbl>
                  <w:tblPr>
                    <w:tblW w:w="112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923"/>
                  </w:tblGrid>
                  <w:tr w:rsidR="00E841A0" w:rsidRPr="00E841A0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841A0" w:rsidRPr="00E841A0" w:rsidRDefault="00E84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ס"ח התשל"ז, עמ' 226.</w:t>
                        </w:r>
                      </w:p>
                    </w:tc>
                  </w:tr>
                </w:tbl>
                <w:p w:rsidR="00E841A0" w:rsidRDefault="00E841A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079" o:spid="_x0000_s1031" type="#_x0000_t202" style="position:absolute;left:0;text-align:left;margin-left:188.9pt;margin-top:479.6pt;width:96.25pt;height:36.45pt;z-index:8;mso-wrap-style:none;mso-position-horizontal-relative:page;mso-position-vertical-relative:page" stroked="f">
            <v:textbox style="mso-next-textbox:#_x0000_s37079" inset="0,0,0,0">
              <w:txbxContent>
                <w:tbl>
                  <w:tblPr>
                    <w:tblW w:w="10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51"/>
                  </w:tblGrid>
                  <w:tr w:rsidR="00E841A0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841A0" w:rsidRDefault="00E84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אברהם שריר</w:t>
                        </w:r>
                      </w:p>
                      <w:p w:rsidR="00E841A0" w:rsidRDefault="00E84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המשפטים</w:t>
                        </w:r>
                      </w:p>
                    </w:tc>
                  </w:tr>
                </w:tbl>
                <w:p w:rsidR="00E841A0" w:rsidRDefault="00E841A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080" o:spid="_x0000_s1032" type="#_x0000_t202" style="position:absolute;left:0;text-align:left;margin-left:307.7pt;margin-top:476.4pt;width:101pt;height:37.2pt;z-index:7;mso-wrap-style:none;mso-position-horizontal-relative:page;mso-position-vertical-relative:page" stroked="f">
            <v:textbox style="mso-next-textbox:#_x0000_s37080" inset="0,0,0,0">
              <w:txbxContent>
                <w:tbl>
                  <w:tblPr>
                    <w:tblW w:w="107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836"/>
                  </w:tblGrid>
                  <w:tr w:rsidR="00E841A0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841A0" w:rsidRDefault="00E84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E841A0" w:rsidRDefault="00E84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E841A0" w:rsidRDefault="00E841A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081" o:spid="_x0000_s1033" type="#_x0000_t202" style="position:absolute;left:0;text-align:left;margin-left:436.2pt;margin-top:496.6pt;width:87.3pt;height:42pt;z-index:6;mso-wrap-style:none;mso-position-horizontal-relative:page;mso-position-vertical-relative:page" stroked="f">
            <v:textbox style="mso-next-textbox:#_x0000_s37081" inset="0,0,0,0">
              <w:txbxContent>
                <w:tbl>
                  <w:tblPr>
                    <w:tblW w:w="9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89"/>
                  </w:tblGrid>
                  <w:tr w:rsidR="00E841A0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841A0" w:rsidRDefault="00E84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הרצוג</w:t>
                        </w:r>
                      </w:p>
                      <w:p w:rsidR="00E841A0" w:rsidRDefault="00E84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E841A0" w:rsidRDefault="00E841A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082" o:spid="_x0000_s1034" type="#_x0000_t202" style="position:absolute;left:0;text-align:left;margin-left:98.4pt;margin-top:57.85pt;width:454.2pt;height:415.4pt;z-index:5;mso-wrap-style:none;mso-position-horizontal-relative:page;mso-position-vertical-relative:page" stroked="f">
            <v:textbox style="mso-next-textbox:#_x0000_s37082" inset="0,0,0,0">
              <w:txbxContent>
                <w:tbl>
                  <w:tblPr>
                    <w:tblW w:w="484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9"/>
                    <w:gridCol w:w="5818"/>
                    <w:gridCol w:w="1242"/>
                  </w:tblGrid>
                  <w:tr w:rsidR="00E841A0" w:rsidRPr="00E841A0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E841A0" w:rsidRDefault="00E841A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22" w:type="pct"/>
                      </w:tcPr>
                      <w:p w:rsidR="00E841A0" w:rsidRDefault="00E84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חומרת העבירה כשלעצמה לא תהווה עילה למעצר אלא במקרים</w:t>
                        </w:r>
                      </w:p>
                      <w:p w:rsidR="00E841A0" w:rsidRDefault="00E84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המנויים בסעיף קטן (א)(2).</w:t>
                        </w:r>
                      </w:p>
                      <w:p w:rsidR="00E841A0" w:rsidRDefault="00E84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21ב. הוגש כתב אישום בשל עבירה שדינה מיתה או מאסר עולם חובה או</w:t>
                        </w:r>
                      </w:p>
                      <w:p w:rsidR="00E841A0" w:rsidRDefault="00E84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עבירה לפי פרק ז' לחוק העונשין, התשל"ז-31977, שדינה מאסר עולם,</w:t>
                        </w:r>
                      </w:p>
                      <w:p w:rsidR="00E841A0" w:rsidRDefault="00E84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יצווה בית המשפט על מעצרו של הנאשם אם נוכח, לאחר ששמע את הצדדים,</w:t>
                        </w:r>
                      </w:p>
                      <w:p w:rsidR="00E841A0" w:rsidRDefault="00E84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שקיימות ראיות לכאורה להוכחת האשמה.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E841A0" w:rsidRPr="00E841A0" w:rsidRDefault="00E84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מעצר חובה</w:t>
                        </w:r>
                      </w:p>
                    </w:tc>
                  </w:tr>
                  <w:tr w:rsidR="00E841A0" w:rsidRPr="00E841A0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E841A0" w:rsidRDefault="00E841A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22" w:type="pct"/>
                      </w:tcPr>
                      <w:p w:rsidR="00E841A0" w:rsidRDefault="00E84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21ג. ניתן פסק דין והוגשה הודעת ערעור בידי תובע, תהא סמכות המעצר</w:t>
                        </w:r>
                      </w:p>
                      <w:p w:rsidR="00E841A0" w:rsidRDefault="00E84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21א נתונה לבית המשפט שלערעור, ורשאי הוא לצוות על מעצר</w:t>
                        </w:r>
                      </w:p>
                      <w:p w:rsidR="00E841A0" w:rsidRDefault="00E84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בעבירות המנויות בסעיף 21ב."</w:t>
                        </w:r>
                      </w:p>
                    </w:tc>
                    <w:tc>
                      <w:tcPr>
                        <w:tcW w:w="752" w:type="pct"/>
                      </w:tcPr>
                      <w:p w:rsidR="00E841A0" w:rsidRDefault="00E84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מעצר</w:t>
                        </w:r>
                      </w:p>
                      <w:p w:rsidR="00E841A0" w:rsidRPr="00E841A0" w:rsidRDefault="00E84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בערעור</w:t>
                        </w:r>
                      </w:p>
                    </w:tc>
                  </w:tr>
                  <w:tr w:rsidR="00E841A0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E841A0" w:rsidRPr="00E841A0" w:rsidRDefault="00E84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27</w:t>
                        </w:r>
                      </w:p>
                    </w:tc>
                    <w:tc>
                      <w:tcPr>
                        <w:tcW w:w="4274" w:type="pct"/>
                        <w:gridSpan w:val="2"/>
                      </w:tcPr>
                      <w:p w:rsidR="00E841A0" w:rsidRDefault="00E84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27 לחוק העיקרי, בסעיף קטן (א), במקום "21(א)" יבוא "21א ו-21ב" ובסעיף קטן</w:t>
                        </w:r>
                      </w:p>
                      <w:p w:rsidR="00E841A0" w:rsidRDefault="00E84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(ב), במקום "21(ב)" יבוא "21".</w:t>
                        </w:r>
                      </w:p>
                    </w:tc>
                  </w:tr>
                  <w:tr w:rsidR="00E841A0" w:rsidRPr="00E841A0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E841A0" w:rsidRPr="00E841A0" w:rsidRDefault="00E84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33</w:t>
                        </w:r>
                      </w:p>
                    </w:tc>
                    <w:tc>
                      <w:tcPr>
                        <w:tcW w:w="4274" w:type="pct"/>
                        <w:gridSpan w:val="2"/>
                      </w:tcPr>
                      <w:p w:rsidR="00E841A0" w:rsidRDefault="00E84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33 לחוק העיקרי -</w:t>
                        </w:r>
                      </w:p>
                      <w:p w:rsidR="00E841A0" w:rsidRDefault="00E84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כותרת השוליים יבוא "שחרור בערובה";</w:t>
                        </w:r>
                      </w:p>
                      <w:p w:rsidR="00E841A0" w:rsidRDefault="00E84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האמור בסעיף יסומן (א) ואחריו יבוא:</w:t>
                        </w:r>
                      </w:p>
                      <w:p w:rsidR="00E841A0" w:rsidRDefault="00E84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בית משפט רשאי לצוות על נאשם או על נידון שערעור תלוי ועומד על</w:t>
                        </w:r>
                      </w:p>
                      <w:p w:rsidR="00E841A0" w:rsidRDefault="00E84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 דינו, לתת ערובה אף אם אינו מוסמך להורות על מעצרו לפי סעיף 21א,</w:t>
                        </w:r>
                      </w:p>
                      <w:p w:rsidR="00E841A0" w:rsidRPr="00E841A0" w:rsidRDefault="00E84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ומשעשה כן, יראו את הנאשם או את הנידון כמי ששוחרר בערובה."</w:t>
                        </w:r>
                      </w:p>
                    </w:tc>
                  </w:tr>
                  <w:tr w:rsidR="00E841A0" w:rsidRPr="00E841A0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E841A0" w:rsidRPr="00E841A0" w:rsidRDefault="00E84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36</w:t>
                        </w:r>
                      </w:p>
                    </w:tc>
                    <w:tc>
                      <w:tcPr>
                        <w:tcW w:w="4274" w:type="pct"/>
                        <w:gridSpan w:val="2"/>
                      </w:tcPr>
                      <w:p w:rsidR="00E841A0" w:rsidRDefault="00E84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36 לחוק העיקרי, אחרי סעיף קטן (ב) יבוא:</w:t>
                        </w:r>
                      </w:p>
                      <w:p w:rsidR="00E841A0" w:rsidRDefault="00E84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בית המשפט המוסמך לצוות על ערובה לפי סעיף 33(ב) הוא בית המשפט</w:t>
                        </w:r>
                      </w:p>
                      <w:p w:rsidR="00E841A0" w:rsidRPr="00E841A0" w:rsidRDefault="00E84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המוסמך לדון בבקשת שחרור כאמור בסעיפים קטנים (א) ו-(ב)."</w:t>
                        </w:r>
                      </w:p>
                    </w:tc>
                  </w:tr>
                  <w:tr w:rsidR="00E841A0" w:rsidRPr="00E841A0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E841A0" w:rsidRPr="00E841A0" w:rsidRDefault="00E84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38</w:t>
                        </w:r>
                      </w:p>
                    </w:tc>
                    <w:tc>
                      <w:tcPr>
                        <w:tcW w:w="4274" w:type="pct"/>
                        <w:gridSpan w:val="2"/>
                      </w:tcPr>
                      <w:p w:rsidR="00E841A0" w:rsidRDefault="00E84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האמור בסעיף 38 לחוק העיקרי יסומן (א) ואחריו יבוא:</w:t>
                        </w:r>
                      </w:p>
                      <w:p w:rsidR="00E841A0" w:rsidRDefault="00E84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ניתנה החלטה בערר בבית משפט מחוזי, לאחר הגשת כתב אישום, רשאים</w:t>
                        </w:r>
                      </w:p>
                      <w:p w:rsidR="00E841A0" w:rsidRDefault="00E84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הצדדים לערור עליה לפני בית המשפט העליון, אם ניתנה רשות לכך מאת שופט של</w:t>
                        </w:r>
                      </w:p>
                      <w:p w:rsidR="00E841A0" w:rsidRPr="00E841A0" w:rsidRDefault="00E84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העליון."</w:t>
                        </w:r>
                      </w:p>
                    </w:tc>
                  </w:tr>
                </w:tbl>
                <w:p w:rsidR="00E841A0" w:rsidRDefault="00E841A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E3C5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E3C5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2F1CB75-7845-42AB-BDD8-E1964E1A9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E3C52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E841A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2008-04-07T03:09:00Z</dcterms:created>
  <dcterms:modified xsi:type="dcterms:W3CDTF">2008-04-07T03:09:00Z</dcterms:modified>
</cp:coreProperties>
</file>