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C6359" w:rsidRDefault="00BC6359">
      <w:pPr>
        <w:rPr>
          <w:rtl/>
        </w:rPr>
      </w:pPr>
    </w:p>
    <w:p w:rsidR="00BC6359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7111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7111" inset="0,0,0,0">
              <w:txbxContent>
                <w:p w:rsidR="00F3616D" w:rsidRDefault="00F3616D">
                  <w:r>
                    <w:rPr>
                      <w:rtl/>
                    </w:rPr>
                    <w:t>102                                         ספר החוקים 1212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12" o:spid="_x0000_s1026" type="#_x0000_t202" style="position:absolute;left:0;text-align:left;margin-left:82.25pt;margin-top:658.55pt;width:386.1pt;height:86.55pt;z-index:3;mso-wrap-style:none;mso-position-horizontal-relative:page;mso-position-vertical-relative:page" stroked="f">
            <v:textbox style="mso-next-textbox:#_x0000_s37112" inset="0,0,0,0">
              <w:txbxContent>
                <w:p w:rsidR="00F3616D" w:rsidRDefault="00F3616D">
                  <w:pPr>
                    <w:pStyle w:val="OCRStyle1"/>
                    <w:ind w:left="205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א' בניסן התשמ"ז (31 במרס 0987! הצעת החוק ודברי הסבר פורסמו בה"ח 1825, התשמ"ז,</w:t>
                  </w:r>
                </w:p>
                <w:p w:rsidR="00F3616D" w:rsidRDefault="00F3616D">
                  <w:pPr>
                    <w:pStyle w:val="OCRStyle1"/>
                    <w:ind w:left="403"/>
                    <w:rPr>
                      <w:rtl/>
                    </w:rPr>
                  </w:pPr>
                  <w:r>
                    <w:rPr>
                      <w:rtl/>
                    </w:rPr>
                    <w:t>עכל 212.</w:t>
                  </w:r>
                </w:p>
                <w:p w:rsidR="00F3616D" w:rsidRDefault="00F3616D">
                  <w:pPr>
                    <w:pStyle w:val="OCRStyle1"/>
                    <w:ind w:left="198"/>
                    <w:rPr>
                      <w:rtl/>
                    </w:rPr>
                  </w:pPr>
                  <w:r>
                    <w:rPr>
                      <w:rtl/>
                    </w:rPr>
                    <w:t>י ס"ח התשל"ו, עמ' 280.</w:t>
                  </w:r>
                </w:p>
                <w:p w:rsidR="00F3616D" w:rsidRDefault="00F3616D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2 ס"ח התשמ"ה, עמי 60.</w:t>
                  </w:r>
                </w:p>
                <w:p w:rsidR="00F3616D" w:rsidRPr="00BC6359" w:rsidRDefault="00F3616D">
                  <w:pPr>
                    <w:pStyle w:val="OCRStyle1"/>
                    <w:ind w:left="191"/>
                  </w:pPr>
                  <w:r>
                    <w:rPr>
                      <w:rtl/>
                    </w:rPr>
                    <w:t>3 דיני מדינת ישראל, נוסח חדש 37, עמ' .761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13" o:spid="_x0000_s1027" type="#_x0000_t202" style="position:absolute;left:0;text-align:left;margin-left:84pt;margin-top:121.4pt;width:471.05pt;height:523.9pt;z-index:2;mso-wrap-style:none;mso-position-horizontal-relative:page;mso-position-vertical-relative:page" stroked="f">
            <v:textbox style="mso-next-textbox:#_x0000_s37113" inset="0,0,0,0">
              <w:txbxContent>
                <w:tbl>
                  <w:tblPr>
                    <w:tblW w:w="502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24"/>
                    <w:gridCol w:w="1542"/>
                  </w:tblGrid>
                  <w:tr w:rsidR="00F3616D" w:rsidRPr="00BC6359">
                    <w:trPr>
                      <w:jc w:val="right"/>
                    </w:trPr>
                    <w:tc>
                      <w:tcPr>
                        <w:tcW w:w="4100" w:type="pct"/>
                      </w:tcPr>
                      <w:p w:rsidR="00F3616D" w:rsidRDefault="00F3616D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1 לחוק עסקאות גופים ציבוריים (אכיפת ניהול חשבונות), התשל"ו-1976 1 ( להלן</w:t>
                        </w:r>
                      </w:p>
                      <w:p w:rsidR="00F3616D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- החוק העיקרי) -</w:t>
                        </w:r>
                      </w:p>
                      <w:p w:rsidR="00F3616D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בהגדרת "מכר", "נכס" וגו', בסופה יבוא "(להלן - חוק מס ערך מוסף)";</w:t>
                        </w:r>
                      </w:p>
                      <w:p w:rsidR="00F3616D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בהגדרת "תושב ישראל", בסופה יבוא "(להלן - הפקודה)":</w:t>
                        </w:r>
                      </w:p>
                      <w:p w:rsidR="00F3616D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הגדרת "גוף ציבורי" יבוא:</w:t>
                        </w:r>
                      </w:p>
                      <w:p w:rsidR="00F3616D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""גוף ציבורי" - כל אחד מאלה:</w:t>
                        </w:r>
                      </w:p>
                      <w:p w:rsidR="00F3616D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המדינה?</w:t>
                        </w:r>
                      </w:p>
                      <w:p w:rsidR="00F3616D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גוף מתוקצב כמשמעותו בסעיף 21 לחוק יסודות התקציב, התשמ"ה-21985:</w:t>
                        </w:r>
                      </w:p>
                      <w:p w:rsidR="00F3616D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מוסד ציבורי כמשמעותו בסעיף 9(2) לפקודה;</w:t>
                        </w:r>
                      </w:p>
                      <w:p w:rsidR="00F3616D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חברה ציבורית כמשמעותה בפקודת החברות [נוסח חדש], התשמ"ג-31983,</w:t>
                        </w:r>
                      </w:p>
                      <w:p w:rsidR="00F3616D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שמניותיה נסחרות בבורסה:</w:t>
                        </w:r>
                      </w:p>
                      <w:p w:rsidR="00F3616D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חבר-בני-אדם שאחד מהמפורטים בפסקאות (2) עד (4) הוא כעל שליטה בו:</w:t>
                        </w:r>
                      </w:p>
                      <w:p w:rsidR="00F3616D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לענין זה, "בעל שליטה" - כמשמעותו בסעיף 32 (9) לפקודה:"</w:t>
                        </w:r>
                      </w:p>
                      <w:p w:rsidR="00F3616D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במקום הגדרת "פקיד מורשה" יבוא:</w:t>
                        </w:r>
                      </w:p>
                      <w:p w:rsidR="00F3616D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""פקיד מורשה" - כל אחד מאלה:</w:t>
                        </w:r>
                      </w:p>
                      <w:p w:rsidR="00F3616D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פקיד שומה כמשמעותו בפקודה, לרבות עובד הכפוף לו שמינה?</w:t>
                        </w:r>
                      </w:p>
                      <w:p w:rsidR="00F3616D" w:rsidRPr="00BC6359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מנהל המכס ומע"מ, לרבות עובד הכפוף לו שמינה."</w:t>
                        </w:r>
                      </w:p>
                    </w:tc>
                    <w:tc>
                      <w:tcPr>
                        <w:tcW w:w="900" w:type="pct"/>
                      </w:tcPr>
                      <w:p w:rsidR="00F3616D" w:rsidRPr="00BC6359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</w:t>
                        </w:r>
                      </w:p>
                    </w:tc>
                  </w:tr>
                  <w:tr w:rsidR="00F3616D" w:rsidRPr="00BC6359">
                    <w:trPr>
                      <w:jc w:val="right"/>
                    </w:trPr>
                    <w:tc>
                      <w:tcPr>
                        <w:tcW w:w="4100" w:type="pct"/>
                      </w:tcPr>
                      <w:p w:rsidR="00F3616D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בסעיף 2 לחוק העיקרי -</w:t>
                        </w:r>
                      </w:p>
                      <w:p w:rsidR="00F3616D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כותרת השוליים יבוא "פנקסים ודיווח - תנאי לעסקה עם גוף ציבורי":</w:t>
                        </w:r>
                      </w:p>
                      <w:p w:rsidR="00F3616D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(א), במקום "או מרואה חשבון" יבוא "מרואה חשבון או מיועץ מס'/</w:t>
                        </w:r>
                      </w:p>
                      <w:p w:rsidR="00F3616D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ובמקום הסיפה ה מתחילה במלים "המעיד שאותו תושב" יבוא "המעיד שאותו תושב -</w:t>
                        </w:r>
                      </w:p>
                      <w:p w:rsidR="00F3616D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מנהל את פנקסי החשבונות והרשומות שעליו לנהלם על פי הפקודה וחוק מס</w:t>
                        </w:r>
                      </w:p>
                      <w:p w:rsidR="00F3616D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ערך מוסף או שהוא פטור מלנהלם:</w:t>
                        </w:r>
                      </w:p>
                      <w:p w:rsidR="00F3616D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נוהג לדווח לפקיד השומה על הכנסותיו ולדווח למנהל על עסקאות שמוטל</w:t>
                        </w:r>
                      </w:p>
                      <w:p w:rsidR="00F3616D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עליהן מס לפי חוק מס ערך מוסף":</w:t>
                        </w:r>
                      </w:p>
                      <w:p w:rsidR="00F3616D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במקום סעיף קטן (ב) יבוא:</w:t>
                        </w:r>
                      </w:p>
                      <w:p w:rsidR="00F3616D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הוראות סעיף זה לא יחולו על עסקה שמחירה אינו עולה על 300 שקלים</w:t>
                        </w:r>
                      </w:p>
                      <w:p w:rsidR="00F3616D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חדשים שהתקשר בה גוף ציבורי.</w:t>
                        </w:r>
                      </w:p>
                      <w:p w:rsidR="00F3616D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שר האוצר רשאי, באישור ועדת הכספים של הכנסת, לשנות בצו את הסכום</w:t>
                        </w:r>
                      </w:p>
                      <w:p w:rsidR="00F3616D" w:rsidRPr="00BC6359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הנקוב בסעיף קטן (ב)."</w:t>
                        </w:r>
                      </w:p>
                    </w:tc>
                    <w:tc>
                      <w:tcPr>
                        <w:tcW w:w="900" w:type="pct"/>
                      </w:tcPr>
                      <w:p w:rsidR="00F3616D" w:rsidRPr="00BC6359" w:rsidRDefault="00F3616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2</w:t>
                        </w:r>
                      </w:p>
                    </w:tc>
                  </w:tr>
                </w:tbl>
                <w:p w:rsidR="00F3616D" w:rsidRDefault="00F3616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7114" o:spid="_x0000_s1028" type="#_x0000_t202" style="position:absolute;left:0;text-align:left;margin-left:131.75pt;margin-top:75.25pt;width:279.75pt;height:37.2pt;z-index:1;mso-wrap-style:none;mso-position-horizontal-relative:page;mso-position-vertical-relative:page" stroked="f">
            <v:textbox style="mso-next-textbox:#_x0000_s37114" inset="0,0,0,0">
              <w:txbxContent>
                <w:p w:rsidR="00F3616D" w:rsidRDefault="00F3616D">
                  <w:pPr>
                    <w:pStyle w:val="OCRStyle1"/>
                    <w:ind w:left="126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חוק עסקאות גופים ציבוריים (אכיפת ניהול חשבונות)</w:t>
                  </w:r>
                </w:p>
                <w:p w:rsidR="00F3616D" w:rsidRPr="00BC6359" w:rsidRDefault="00F3616D">
                  <w:pPr>
                    <w:pStyle w:val="OCRStyle1"/>
                    <w:ind w:left="1390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(תיקון), התשמ"ז-1987 *</w:t>
                  </w:r>
                </w:p>
              </w:txbxContent>
            </v:textbox>
            <w10:wrap anchorx="page" anchory="page"/>
          </v:shape>
        </w:pict>
      </w:r>
    </w:p>
    <w:p w:rsidR="00F3616D" w:rsidRDefault="00F3616D">
      <w:pPr>
        <w:rPr>
          <w:rtl/>
        </w:rPr>
      </w:pPr>
      <w:r>
        <w:rPr>
          <w:rtl/>
        </w:rPr>
        <w:br w:type="page"/>
      </w:r>
    </w:p>
    <w:p w:rsidR="00F3616D" w:rsidRDefault="00000000">
      <w:pPr>
        <w:rPr>
          <w:rtl/>
        </w:rPr>
      </w:pPr>
      <w:r>
        <w:pict>
          <v:shape id="_x0000_s37115" o:spid="_x0000_s1029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7115" inset="0,0,0,0">
              <w:txbxContent>
                <w:p w:rsidR="00F3616D" w:rsidRDefault="00F3616D">
                  <w:r>
                    <w:rPr>
                      <w:rtl/>
                    </w:rPr>
                    <w:t>103                                         ספר החוקים 1212                   י' בניסן התשמ"ז 09.04.1987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16" o:spid="_x0000_s1030" type="#_x0000_t202" style="position:absolute;left:0;text-align:left;margin-left:386.5pt;margin-top:704.55pt;width:166.7pt;height:28.9pt;z-index:9;mso-wrap-style:none;mso-position-horizontal-relative:page;mso-position-vertical-relative:page" stroked="f">
            <v:textbox style="mso-next-textbox:#_x0000_s37116" inset="0,0,0,0">
              <w:txbxContent>
                <w:p w:rsidR="00F3616D" w:rsidRDefault="00F3616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37117" o:spid="_x0000_s1031" type="#_x0000_t202" style="position:absolute;left:0;text-align:left;margin-left:204.15pt;margin-top:265.8pt;width:87.5pt;height:41.2pt;z-index:8;mso-wrap-style:none;mso-position-horizontal-relative:page;mso-position-vertical-relative:page" stroked="f">
            <v:textbox style="mso-next-textbox:#_x0000_s37117" inset="0,0,0,0">
              <w:txbxContent>
                <w:p w:rsidR="00F3616D" w:rsidRDefault="00F3616D">
                  <w:pPr>
                    <w:pStyle w:val="OCRStyle2"/>
                    <w:ind w:left="302"/>
                    <w:rPr>
                      <w:rtl/>
                    </w:rPr>
                  </w:pPr>
                  <w:r>
                    <w:rPr>
                      <w:rtl/>
                    </w:rPr>
                    <w:t>משה נסים</w:t>
                  </w:r>
                </w:p>
                <w:p w:rsidR="00F3616D" w:rsidRDefault="00F3616D">
                  <w:pPr>
                    <w:pStyle w:val="OCRStyle2"/>
                    <w:ind w:left="382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18" o:spid="_x0000_s1032" type="#_x0000_t202" style="position:absolute;left:0;text-align:left;margin-left:337pt;margin-top:263.25pt;width:91.5pt;height:41.4pt;z-index:7;mso-wrap-style:none;mso-position-horizontal-relative:page;mso-position-vertical-relative:page" stroked="f">
            <v:textbox style="mso-next-textbox:#_x0000_s37118" inset="0,0,0,0">
              <w:txbxContent>
                <w:p w:rsidR="00F3616D" w:rsidRDefault="00F3616D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F3616D" w:rsidRDefault="00F3616D">
                  <w:pPr>
                    <w:pStyle w:val="OCRStyle2"/>
                    <w:ind w:left="1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19" o:spid="_x0000_s1033" type="#_x0000_t202" style="position:absolute;left:0;text-align:left;margin-left:476.4pt;margin-top:291.35pt;width:80pt;height:48.7pt;z-index:6;mso-wrap-style:none;mso-position-horizontal-relative:page;mso-position-vertical-relative:page" stroked="f">
            <v:textbox style="mso-next-textbox:#_x0000_s37119" inset="0,0,0,0">
              <w:txbxContent>
                <w:p w:rsidR="00F3616D" w:rsidRDefault="00F3616D">
                  <w:pPr>
                    <w:pStyle w:val="OCRStyle2"/>
                    <w:ind w:left="151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F3616D" w:rsidRDefault="00F3616D">
                  <w:pPr>
                    <w:pStyle w:val="OCRStyle2"/>
                    <w:ind w:left="22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7120" o:spid="_x0000_s1034" type="#_x0000_t202" style="position:absolute;left:0;text-align:left;margin-left:106.7pt;margin-top:62.85pt;width:455.4pt;height:149.3pt;z-index:5;mso-wrap-style:none;mso-position-horizontal-relative:page;mso-position-vertical-relative:page" stroked="f">
            <v:textbox style="mso-next-textbox:#_x0000_s37120" inset="0,0,0,0">
              <w:txbxContent>
                <w:tbl>
                  <w:tblPr>
                    <w:tblW w:w="485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85"/>
                    <w:gridCol w:w="5752"/>
                    <w:gridCol w:w="1242"/>
                  </w:tblGrid>
                  <w:tr w:rsidR="00F3616D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F3616D" w:rsidRDefault="00F361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3</w:t>
                        </w:r>
                      </w:p>
                    </w:tc>
                    <w:tc>
                      <w:tcPr>
                        <w:tcW w:w="4224" w:type="pct"/>
                        <w:gridSpan w:val="2"/>
                      </w:tcPr>
                      <w:p w:rsidR="00F3616D" w:rsidRDefault="00F361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3 לחוק העיקרי יבוא:</w:t>
                        </w:r>
                      </w:p>
                    </w:tc>
                  </w:tr>
                  <w:tr w:rsidR="00F3616D" w:rsidRPr="00F3616D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F3616D" w:rsidRDefault="00F3616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4" w:type="pct"/>
                      </w:tcPr>
                      <w:p w:rsidR="00F3616D" w:rsidRDefault="00F361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(א) עבר גוף ציבורי על הוראות סעיף 2, יאשם בעבירה אדם אשר</w:t>
                        </w:r>
                      </w:p>
                      <w:p w:rsidR="00F3616D" w:rsidRDefault="00F361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בשעת ביצוע העבירה היה מנהל פעיל, חשב או פקיד אחראי בו, וכל מי</w:t>
                        </w:r>
                      </w:p>
                      <w:p w:rsidR="00F3616D" w:rsidRDefault="00F361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שייצג את הגוף הציבורי בעסקה, אלא אם כן הוכיח שהעבירה נעברה</w:t>
                        </w:r>
                      </w:p>
                      <w:p w:rsidR="00F3616D" w:rsidRDefault="00F361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בידיעתו ושנקט כל האמצעים הסבירים להבטחת קיום הוראות</w:t>
                        </w:r>
                      </w:p>
                      <w:p w:rsidR="00F3616D" w:rsidRDefault="00F361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הסעיף האמור.</w:t>
                        </w:r>
                      </w:p>
                      <w:p w:rsidR="00F3616D" w:rsidRDefault="00F361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מי שעבר עבירה כאמור .בסעיף קטן (א), דינו - קנס."</w:t>
                        </w:r>
                      </w:p>
                    </w:tc>
                    <w:tc>
                      <w:tcPr>
                        <w:tcW w:w="750" w:type="pct"/>
                      </w:tcPr>
                      <w:p w:rsidR="00F3616D" w:rsidRDefault="00F361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"אחריות מנהל</w:t>
                        </w:r>
                      </w:p>
                      <w:p w:rsidR="00F3616D" w:rsidRPr="00F3616D" w:rsidRDefault="00F361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ועובד</w:t>
                        </w:r>
                      </w:p>
                    </w:tc>
                  </w:tr>
                  <w:tr w:rsidR="00F3616D" w:rsidRPr="00F3616D">
                    <w:trPr>
                      <w:jc w:val="right"/>
                    </w:trPr>
                    <w:tc>
                      <w:tcPr>
                        <w:tcW w:w="776" w:type="pct"/>
                      </w:tcPr>
                      <w:p w:rsidR="00F3616D" w:rsidRPr="00F3616D" w:rsidRDefault="00F361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224" w:type="pct"/>
                        <w:gridSpan w:val="2"/>
                      </w:tcPr>
                      <w:p w:rsidR="00F3616D" w:rsidRPr="00F3616D" w:rsidRDefault="00F3616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תחילתו של סעיף 3 כתום ששים ימים מיום פרסומו של חוק זה.</w:t>
                        </w:r>
                      </w:p>
                    </w:tc>
                  </w:tr>
                </w:tbl>
                <w:p w:rsidR="00F3616D" w:rsidRDefault="00F3616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C6359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C635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DCDEF5B6-9B47-44CB-8844-5FE00BBE2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C6359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F3616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2008-04-07T02:46:00Z</dcterms:created>
  <dcterms:modified xsi:type="dcterms:W3CDTF">2008-04-07T02:46:00Z</dcterms:modified>
</cp:coreProperties>
</file>