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EC6D31" w:rsidRDefault="00EC6D31">
      <w:pPr>
        <w:rPr>
          <w:rtl/>
        </w:rPr>
      </w:pPr>
    </w:p>
    <w:p w:rsidR="00EC6D31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7170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37170" inset="0,0,0,0">
              <w:txbxContent>
                <w:p w:rsidR="00C95661" w:rsidRDefault="00C95661">
                  <w:r>
                    <w:rPr>
                      <w:rtl/>
                    </w:rPr>
                    <w:t>100                                         ספר החוקים 1212                   י' בניסן התשמ"ז 09.04.1987</w:t>
                  </w:r>
                </w:p>
              </w:txbxContent>
            </v:textbox>
            <w10:wrap anchorx="page" anchory="page"/>
          </v:shape>
        </w:pict>
      </w:r>
      <w:r>
        <w:pict>
          <v:shape id="_x0000_s37171" o:spid="_x0000_s1026" type="#_x0000_t202" style="position:absolute;left:0;text-align:left;margin-left:84.9pt;margin-top:668.45pt;width:386.9pt;height:73.45pt;z-index:3;mso-wrap-style:none;mso-position-horizontal-relative:page;mso-position-vertical-relative:page" stroked="f">
            <v:textbox style="mso-next-textbox:#_x0000_s37171" inset="0,0,0,0">
              <w:txbxContent>
                <w:p w:rsidR="00C95661" w:rsidRDefault="00C95661">
                  <w:pPr>
                    <w:pStyle w:val="OCRStyle1"/>
                    <w:ind w:left="155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א' בניסן התשמ"ז (31 במרס 1987)1 הצעת החוק ודברי הסבר פורסמו בה"ח 1815, התשמ''ז,</w:t>
                  </w:r>
                </w:p>
                <w:p w:rsidR="00C95661" w:rsidRDefault="00C95661">
                  <w:pPr>
                    <w:pStyle w:val="OCRStyle1"/>
                    <w:ind w:left="353"/>
                    <w:rPr>
                      <w:rtl/>
                    </w:rPr>
                  </w:pPr>
                  <w:r>
                    <w:rPr>
                      <w:rtl/>
                    </w:rPr>
                    <w:t xml:space="preserve">עמ' 153. </w:t>
                  </w:r>
                </w:p>
                <w:p w:rsidR="00C95661" w:rsidRPr="00EC6D31" w:rsidRDefault="00C95661">
                  <w:pPr>
                    <w:pStyle w:val="OCRStyle1"/>
                    <w:ind w:left="155"/>
                  </w:pPr>
                  <w:r>
                    <w:rPr>
                      <w:rtl/>
                    </w:rPr>
                    <w:t>1 ס"ח התשמ"ה, עמ' 2 ועמ' 48; התשמ"ו, עמ' 49.</w:t>
                  </w:r>
                </w:p>
              </w:txbxContent>
            </v:textbox>
            <w10:wrap anchorx="page" anchory="page"/>
          </v:shape>
        </w:pict>
      </w:r>
      <w:r>
        <w:pict>
          <v:shape id="_x0000_s37172" o:spid="_x0000_s1027" type="#_x0000_t202" style="position:absolute;left:0;text-align:left;margin-left:82.3pt;margin-top:116.6pt;width:476.2pt;height:431.45pt;z-index:2;mso-wrap-style:none;mso-position-horizontal-relative:page;mso-position-vertical-relative:page" stroked="f">
            <v:textbox style="mso-next-textbox:#_x0000_s37172" inset="0,0,0,0">
              <w:txbxContent>
                <w:tbl>
                  <w:tblPr>
                    <w:tblW w:w="507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17"/>
                    <w:gridCol w:w="1541"/>
                  </w:tblGrid>
                  <w:tr w:rsidR="00C95661" w:rsidRPr="00EC6D31">
                    <w:trPr>
                      <w:jc w:val="right"/>
                    </w:trPr>
                    <w:tc>
                      <w:tcPr>
                        <w:tcW w:w="4110" w:type="pct"/>
                      </w:tcPr>
                      <w:p w:rsidR="00C95661" w:rsidRDefault="00C95661">
                        <w:pPr>
                          <w:pStyle w:val="OCRStyle1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1. בסעיף 2 לחוק היטל על שירותים מיובאים ונכסי חוץ (הוראת שעה), התשמ"ה-1984 1</w:t>
                        </w:r>
                      </w:p>
                      <w:p w:rsidR="00C95661" w:rsidRDefault="00C9566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(להלן - החוק העיקרי) -</w:t>
                        </w:r>
                      </w:p>
                      <w:p w:rsidR="00C95661" w:rsidRDefault="00C9566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(ב), פסקה (2) - תימחק;</w:t>
                        </w:r>
                      </w:p>
                      <w:p w:rsidR="00C95661" w:rsidRDefault="00C9566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(ד) -</w:t>
                        </w:r>
                      </w:p>
                      <w:p w:rsidR="00C95661" w:rsidRDefault="00C9566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כרישה, אחרי "השירות" יבוא "או נכס חוץ";</w:t>
                        </w:r>
                      </w:p>
                      <w:p w:rsidR="00C95661" w:rsidRPr="00EC6D31" w:rsidRDefault="00C9566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הסיפה המתחילה במלה "ואולם" - תימחק.</w:t>
                        </w:r>
                      </w:p>
                    </w:tc>
                    <w:tc>
                      <w:tcPr>
                        <w:tcW w:w="890" w:type="pct"/>
                      </w:tcPr>
                      <w:p w:rsidR="00C95661" w:rsidRPr="00EC6D31" w:rsidRDefault="00C9566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</w:t>
                        </w:r>
                      </w:p>
                    </w:tc>
                  </w:tr>
                  <w:tr w:rsidR="00C95661" w:rsidRPr="00EC6D31">
                    <w:trPr>
                      <w:jc w:val="right"/>
                    </w:trPr>
                    <w:tc>
                      <w:tcPr>
                        <w:tcW w:w="4110" w:type="pct"/>
                      </w:tcPr>
                      <w:p w:rsidR="00C95661" w:rsidRPr="00EC6D31" w:rsidRDefault="00C9566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3 לחוק העיקרי, סעיף קטן (ב) - בטל.</w:t>
                        </w:r>
                      </w:p>
                    </w:tc>
                    <w:tc>
                      <w:tcPr>
                        <w:tcW w:w="890" w:type="pct"/>
                      </w:tcPr>
                      <w:p w:rsidR="00C95661" w:rsidRPr="00EC6D31" w:rsidRDefault="00C9566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</w:t>
                        </w:r>
                      </w:p>
                    </w:tc>
                  </w:tr>
                  <w:tr w:rsidR="00C95661" w:rsidRPr="00EC6D31">
                    <w:trPr>
                      <w:jc w:val="right"/>
                    </w:trPr>
                    <w:tc>
                      <w:tcPr>
                        <w:tcW w:w="4110" w:type="pct"/>
                      </w:tcPr>
                      <w:p w:rsidR="00C95661" w:rsidRPr="00EC6D31" w:rsidRDefault="00C9566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בסעיף 5 לחוק העיקרי, סעיף קטן (ג) - בטל.</w:t>
                        </w:r>
                      </w:p>
                    </w:tc>
                    <w:tc>
                      <w:tcPr>
                        <w:tcW w:w="890" w:type="pct"/>
                      </w:tcPr>
                      <w:p w:rsidR="00C95661" w:rsidRPr="00EC6D31" w:rsidRDefault="00C9566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5</w:t>
                        </w:r>
                      </w:p>
                    </w:tc>
                  </w:tr>
                  <w:tr w:rsidR="00C95661" w:rsidRPr="00EC6D31">
                    <w:trPr>
                      <w:jc w:val="right"/>
                    </w:trPr>
                    <w:tc>
                      <w:tcPr>
                        <w:tcW w:w="4110" w:type="pct"/>
                      </w:tcPr>
                      <w:p w:rsidR="00C95661" w:rsidRPr="00EC6D31" w:rsidRDefault="00C9566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בסעיף 6(א) לחוק העיקרי, פסקאות (3) ו-(4) - יימחקו.</w:t>
                        </w:r>
                      </w:p>
                    </w:tc>
                    <w:tc>
                      <w:tcPr>
                        <w:tcW w:w="890" w:type="pct"/>
                      </w:tcPr>
                      <w:p w:rsidR="00C95661" w:rsidRPr="00EC6D31" w:rsidRDefault="00C9566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6</w:t>
                        </w:r>
                      </w:p>
                    </w:tc>
                  </w:tr>
                  <w:tr w:rsidR="00C95661" w:rsidRPr="00EC6D31">
                    <w:trPr>
                      <w:jc w:val="right"/>
                    </w:trPr>
                    <w:tc>
                      <w:tcPr>
                        <w:tcW w:w="4110" w:type="pct"/>
                      </w:tcPr>
                      <w:p w:rsidR="00C95661" w:rsidRPr="00EC6D31" w:rsidRDefault="00C9566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סעיף 6א לחוק העיקרי - בטל.</w:t>
                        </w:r>
                      </w:p>
                    </w:tc>
                    <w:tc>
                      <w:tcPr>
                        <w:tcW w:w="890" w:type="pct"/>
                      </w:tcPr>
                      <w:p w:rsidR="00C95661" w:rsidRPr="00EC6D31" w:rsidRDefault="00C9566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6א</w:t>
                        </w:r>
                      </w:p>
                    </w:tc>
                  </w:tr>
                  <w:tr w:rsidR="00C95661" w:rsidRPr="00EC6D31">
                    <w:trPr>
                      <w:jc w:val="right"/>
                    </w:trPr>
                    <w:tc>
                      <w:tcPr>
                        <w:tcW w:w="4110" w:type="pct"/>
                      </w:tcPr>
                      <w:p w:rsidR="00C95661" w:rsidRPr="00EC6D31" w:rsidRDefault="00C9566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בסעיף 8 לחוק העיקרי, סעיפים קטנים (ב) ו-(ג) - בטלים.</w:t>
                        </w:r>
                      </w:p>
                    </w:tc>
                    <w:tc>
                      <w:tcPr>
                        <w:tcW w:w="890" w:type="pct"/>
                      </w:tcPr>
                      <w:p w:rsidR="00C95661" w:rsidRPr="00EC6D31" w:rsidRDefault="00C9566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8</w:t>
                        </w:r>
                      </w:p>
                    </w:tc>
                  </w:tr>
                  <w:tr w:rsidR="00C95661" w:rsidRPr="00EC6D31">
                    <w:trPr>
                      <w:jc w:val="right"/>
                    </w:trPr>
                    <w:tc>
                      <w:tcPr>
                        <w:tcW w:w="4110" w:type="pct"/>
                      </w:tcPr>
                      <w:p w:rsidR="00C95661" w:rsidRDefault="00C9566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בסעיף 10 לחוק העיקרי -</w:t>
                        </w:r>
                      </w:p>
                      <w:p w:rsidR="00C95661" w:rsidRDefault="00C9566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 -</w:t>
                        </w:r>
                      </w:p>
                      <w:p w:rsidR="00C95661" w:rsidRDefault="00C9566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כמקום פסקה (7) יבוא:</w:t>
                        </w:r>
                      </w:p>
                      <w:p w:rsidR="00C95661" w:rsidRDefault="00C9566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"(7) מכירת שירות קרקע כאמור בסעיף 2(ב)(1), למעט שירות כאמור</w:t>
                        </w:r>
                      </w:p>
                      <w:p w:rsidR="00C95661" w:rsidRDefault="00C9566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בפסקה (1), לתושב חוץ, לבעל פטור או לבן זוגו או ילדו של בעל פטור</w:t>
                        </w:r>
                      </w:p>
                      <w:p w:rsidR="00C95661" w:rsidRDefault="00C9566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(בפסקה זו - "הזכאי"), שתמורתו שולמה כדין לסוכן הנסיעות במטבע חוץ,</w:t>
                        </w:r>
                      </w:p>
                      <w:p w:rsidR="00C95661" w:rsidRDefault="00C9566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ובלבד שהשירות כאמור מיועד לזכאי ומשמש אותו במהלך נסיעתו?"</w:t>
                        </w:r>
                      </w:p>
                      <w:p w:rsidR="00C95661" w:rsidRDefault="00C9566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בפסקה (15), בסופה יבוא "וכן נייר ערך אחר שקבע שר האוצר בצו, באישור</w:t>
                        </w:r>
                      </w:p>
                      <w:p w:rsidR="00C95661" w:rsidRDefault="00C9566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ועדת הכספים של הכנסת";</w:t>
                        </w:r>
                      </w:p>
                      <w:p w:rsidR="00C95661" w:rsidRPr="00EC6D31" w:rsidRDefault="00C9566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סעיף קטן (ב) - בטל.</w:t>
                        </w:r>
                      </w:p>
                    </w:tc>
                    <w:tc>
                      <w:tcPr>
                        <w:tcW w:w="890" w:type="pct"/>
                      </w:tcPr>
                      <w:p w:rsidR="00C95661" w:rsidRPr="00EC6D31" w:rsidRDefault="00C9566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10</w:t>
                        </w:r>
                      </w:p>
                    </w:tc>
                  </w:tr>
                  <w:tr w:rsidR="00C95661" w:rsidRPr="00EC6D31">
                    <w:trPr>
                      <w:jc w:val="right"/>
                    </w:trPr>
                    <w:tc>
                      <w:tcPr>
                        <w:tcW w:w="4110" w:type="pct"/>
                      </w:tcPr>
                      <w:p w:rsidR="00C95661" w:rsidRPr="00EC6D31" w:rsidRDefault="00C9566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בסעיף 14 לחוק העיקרי, כרישה, לפני המלה "הוראות" יבוא "על אף האמור בכל דין".</w:t>
                        </w:r>
                      </w:p>
                    </w:tc>
                    <w:tc>
                      <w:tcPr>
                        <w:tcW w:w="890" w:type="pct"/>
                      </w:tcPr>
                      <w:p w:rsidR="00C95661" w:rsidRPr="00EC6D31" w:rsidRDefault="00C9566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14</w:t>
                        </w:r>
                      </w:p>
                    </w:tc>
                  </w:tr>
                </w:tbl>
                <w:p w:rsidR="00C95661" w:rsidRDefault="00C95661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7173" o:spid="_x0000_s1028" type="#_x0000_t202" style="position:absolute;left:0;text-align:left;margin-left:130.25pt;margin-top:72.85pt;width:302.75pt;height:38.6pt;z-index:1;mso-wrap-style:none;mso-position-horizontal-relative:page;mso-position-vertical-relative:page" stroked="f">
            <v:textbox style="mso-next-textbox:#_x0000_s37173" inset="0,0,0,0">
              <w:txbxContent>
                <w:p w:rsidR="00C95661" w:rsidRDefault="00C95661">
                  <w:pPr>
                    <w:pStyle w:val="OCRStyle1"/>
                    <w:ind w:left="227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היטל על שירותים מיובאים ונכסי חוץ (הוראת שעה)</w:t>
                  </w:r>
                </w:p>
                <w:p w:rsidR="00C95661" w:rsidRPr="00EC6D31" w:rsidRDefault="00C95661">
                  <w:pPr>
                    <w:pStyle w:val="OCRStyle1"/>
                    <w:ind w:left="695"/>
                    <w:rPr>
                      <w:sz w:val="20"/>
                      <w:szCs w:val="20"/>
                    </w:rPr>
                  </w:pPr>
                  <w:r>
                    <w:rPr>
                      <w:rtl/>
                    </w:rPr>
                    <w:t>(תיקון מס' 3 והארכת תוקף), התשמ"ז- 1987*</w:t>
                  </w:r>
                </w:p>
              </w:txbxContent>
            </v:textbox>
            <w10:wrap anchorx="page" anchory="page"/>
          </v:shape>
        </w:pict>
      </w:r>
    </w:p>
    <w:p w:rsidR="00C95661" w:rsidRDefault="00C95661">
      <w:pPr>
        <w:rPr>
          <w:rtl/>
        </w:rPr>
      </w:pPr>
      <w:r>
        <w:rPr>
          <w:rtl/>
        </w:rPr>
        <w:br w:type="page"/>
      </w:r>
    </w:p>
    <w:p w:rsidR="00C95661" w:rsidRDefault="00000000">
      <w:pPr>
        <w:rPr>
          <w:rtl/>
        </w:rPr>
      </w:pPr>
      <w:r>
        <w:pict>
          <v:shape id="_x0000_s37174" o:spid="_x0000_s1029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37174" inset="0,0,0,0">
              <w:txbxContent>
                <w:p w:rsidR="00C95661" w:rsidRDefault="00C95661">
                  <w:r>
                    <w:rPr>
                      <w:rtl/>
                    </w:rPr>
                    <w:t>101                                         ספר החוקים 1212                   י' בניסן התשמ"ז 09.04.1987</w:t>
                  </w:r>
                </w:p>
              </w:txbxContent>
            </v:textbox>
            <w10:wrap anchorx="page" anchory="page"/>
          </v:shape>
        </w:pict>
      </w:r>
      <w:r>
        <w:pict>
          <v:shape id="_x0000_s37175" o:spid="_x0000_s1030" type="#_x0000_t202" style="position:absolute;left:0;text-align:left;margin-left:398.05pt;margin-top:713.7pt;width:158.4pt;height:34.65pt;z-index:9;mso-wrap-style:none;mso-position-horizontal-relative:page;mso-position-vertical-relative:page" stroked="f">
            <v:textbox style="mso-next-textbox:#_x0000_s37175" inset="0,0,0,0">
              <w:txbxContent>
                <w:p w:rsidR="00C95661" w:rsidRDefault="00C95661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37176" o:spid="_x0000_s1031" type="#_x0000_t202" style="position:absolute;left:0;text-align:left;margin-left:213.35pt;margin-top:221.25pt;width:80pt;height:52.65pt;z-index:8;mso-wrap-style:none;mso-position-horizontal-relative:page;mso-position-vertical-relative:page" stroked="f">
            <v:textbox style="mso-next-textbox:#_x0000_s37176" inset="0,0,0,0">
              <w:txbxContent>
                <w:p w:rsidR="00C95661" w:rsidRDefault="00C95661">
                  <w:pPr>
                    <w:pStyle w:val="OCRStyle2"/>
                    <w:ind w:left="292"/>
                    <w:rPr>
                      <w:rtl/>
                    </w:rPr>
                  </w:pPr>
                  <w:r>
                    <w:rPr>
                      <w:rtl/>
                    </w:rPr>
                    <w:t>משה נסים</w:t>
                  </w:r>
                </w:p>
                <w:p w:rsidR="00C95661" w:rsidRDefault="00C95661">
                  <w:pPr>
                    <w:pStyle w:val="OCRStyle2"/>
                    <w:ind w:left="371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37177" o:spid="_x0000_s1032" type="#_x0000_t202" style="position:absolute;left:0;text-align:left;margin-left:342.05pt;margin-top:217.1pt;width:89.1pt;height:47.9pt;z-index:7;mso-wrap-style:none;mso-position-horizontal-relative:page;mso-position-vertical-relative:page" stroked="f">
            <v:textbox style="mso-next-textbox:#_x0000_s37177" inset="0,0,0,0">
              <w:txbxContent>
                <w:p w:rsidR="00C95661" w:rsidRDefault="00C95661">
                  <w:pPr>
                    <w:pStyle w:val="OCRStyle2"/>
                    <w:ind w:left="180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C95661" w:rsidRDefault="00C95661">
                  <w:pPr>
                    <w:pStyle w:val="OCRStyle2"/>
                    <w:ind w:left="18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7178" o:spid="_x0000_s1033" type="#_x0000_t202" style="position:absolute;left:0;text-align:left;margin-left:481.45pt;margin-top:247.6pt;width:76.65pt;height:52.85pt;z-index:6;mso-wrap-style:none;mso-position-horizontal-relative:page;mso-position-vertical-relative:page" stroked="f">
            <v:textbox style="mso-next-textbox:#_x0000_s37178" inset="0,0,0,0">
              <w:txbxContent>
                <w:p w:rsidR="00C95661" w:rsidRDefault="00C95661">
                  <w:pPr>
                    <w:pStyle w:val="OCRStyle2"/>
                    <w:ind w:left="162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C95661" w:rsidRDefault="00C95661">
                  <w:pPr>
                    <w:pStyle w:val="OCRStyle2"/>
                    <w:ind w:left="227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7179" o:spid="_x0000_s1034" type="#_x0000_t202" style="position:absolute;left:0;text-align:left;margin-left:108.6pt;margin-top:75.15pt;width:455.4pt;height:89.1pt;z-index:5;mso-wrap-style:none;mso-position-horizontal-relative:page;mso-position-vertical-relative:page" stroked="f">
            <v:textbox style="mso-next-textbox:#_x0000_s37179" inset="0,0,0,0">
              <w:txbxContent>
                <w:tbl>
                  <w:tblPr>
                    <w:tblW w:w="485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24"/>
                    <w:gridCol w:w="7055"/>
                  </w:tblGrid>
                  <w:tr w:rsidR="00C95661" w:rsidRPr="00C95661">
                    <w:trPr>
                      <w:jc w:val="right"/>
                    </w:trPr>
                    <w:tc>
                      <w:tcPr>
                        <w:tcW w:w="739" w:type="pct"/>
                      </w:tcPr>
                      <w:p w:rsidR="00C95661" w:rsidRPr="00C95661" w:rsidRDefault="00C95661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 18</w:t>
                        </w:r>
                      </w:p>
                    </w:tc>
                    <w:tc>
                      <w:tcPr>
                        <w:tcW w:w="4261" w:type="pct"/>
                      </w:tcPr>
                      <w:p w:rsidR="00C95661" w:rsidRDefault="00C95661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9. בסעיף 18(א) לחוק העיקרי, במקום "א' בניסן התשמ"ז (31 במרס 1987)" יבוא "י"ג</w:t>
                        </w:r>
                      </w:p>
                      <w:p w:rsidR="00C95661" w:rsidRPr="00C95661" w:rsidRDefault="00C9566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בניסן התשמ"ח (31 במרס 1988)".</w:t>
                        </w:r>
                      </w:p>
                    </w:tc>
                  </w:tr>
                  <w:tr w:rsidR="00C95661" w:rsidRPr="00C95661">
                    <w:trPr>
                      <w:jc w:val="right"/>
                    </w:trPr>
                    <w:tc>
                      <w:tcPr>
                        <w:tcW w:w="739" w:type="pct"/>
                      </w:tcPr>
                      <w:p w:rsidR="00C95661" w:rsidRPr="00C95661" w:rsidRDefault="00C95661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תחילה</w:t>
                        </w:r>
                      </w:p>
                    </w:tc>
                    <w:tc>
                      <w:tcPr>
                        <w:tcW w:w="4261" w:type="pct"/>
                      </w:tcPr>
                      <w:p w:rsidR="00C95661" w:rsidRDefault="00C95661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10. (א) תחילתם של סעיפים 1(1) ו-(2)(ב) ביום ז' באדר התשמ"ז (8 במרס 1987).</w:t>
                        </w:r>
                      </w:p>
                      <w:p w:rsidR="00C95661" w:rsidRPr="00C95661" w:rsidRDefault="00C9566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תחילתו של סעיף 1(2)(א) ביום כ' בחשון התשמ"ו (13 בנובמבר 1985).</w:t>
                        </w:r>
                      </w:p>
                    </w:tc>
                  </w:tr>
                </w:tbl>
                <w:p w:rsidR="00C95661" w:rsidRDefault="00C95661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EC6D31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C6D31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9C99A9A3-5136-479D-9E91-B8F94569F4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EC6D31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C95661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14</Characters>
  <Application>Microsoft Office Word</Application>
  <DocSecurity>4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2008-04-07T02:46:00Z</dcterms:created>
  <dcterms:modified xsi:type="dcterms:W3CDTF">2008-04-07T02:46:00Z</dcterms:modified>
</cp:coreProperties>
</file>