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6A9F" w:rsidRDefault="00D66A9F">
      <w:pPr>
        <w:rPr>
          <w:rtl/>
        </w:rPr>
      </w:pPr>
    </w:p>
    <w:p w:rsidR="00D66A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440" inset="0,0,0,0">
              <w:txbxContent>
                <w:p w:rsidR="00D66A9F" w:rsidRDefault="00D66A9F">
                  <w:r>
                    <w:rPr>
                      <w:rtl/>
                    </w:rPr>
                    <w:t>18                                          ספר החוקים 1232                    י' בטבת התשמ"ח 31.12.1987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41" o:spid="_x0000_s1026" type="#_x0000_t202" style="position:absolute;left:0;text-align:left;margin-left:93.25pt;margin-top:550.25pt;width:391.25pt;height:63.55pt;z-index:6;mso-wrap-style:none;mso-position-horizontal-relative:page;mso-position-vertical-relative:page" stroked="f">
            <v:textbox style="mso-next-textbox:#_x0000_s37441" inset="0,0,0,0">
              <w:txbxContent>
                <w:tbl>
                  <w:tblPr>
                    <w:tblW w:w="41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3"/>
                  </w:tblGrid>
                  <w:tr w:rsidR="00D66A9F" w:rsidRPr="00D66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בטבת התשמ''ח (29 בדצמבר 1987); הצעת החוק ודברי הסבר פורסמו בה"ח 1832,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התשמ''ז, עמ' 252.</w:t>
                        </w:r>
                      </w:p>
                      <w:p w:rsidR="00D66A9F" w:rsidRPr="00D66A9F" w:rsidRDefault="00D66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8, עמ' 197; ס''ח התשמ''ד, עמ' 49; התשמ''ז, עמ' 86.</w:t>
                        </w:r>
                      </w:p>
                    </w:tc>
                  </w:tr>
                </w:tbl>
                <w:p w:rsidR="00D66A9F" w:rsidRDefault="00D66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42" o:spid="_x0000_s1027" type="#_x0000_t202" style="position:absolute;left:0;text-align:left;margin-left:96.65pt;margin-top:466.3pt;width:128.7pt;height:52.05pt;z-index:5;mso-wrap-style:none;mso-position-horizontal-relative:page;mso-position-vertical-relative:page" stroked="f">
            <v:textbox style="mso-next-textbox:#_x0000_s37442" inset="0,0,0,0">
              <w:txbxContent>
                <w:tbl>
                  <w:tblPr>
                    <w:tblW w:w="13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40"/>
                  </w:tblGrid>
                  <w:tr w:rsidR="00D66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D66A9F" w:rsidRDefault="00D66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43" o:spid="_x0000_s1028" type="#_x0000_t202" style="position:absolute;left:0;text-align:left;margin-left:236.8pt;margin-top:466.3pt;width:118.8pt;height:55.45pt;z-index:4;mso-wrap-style:none;mso-position-horizontal-relative:page;mso-position-vertical-relative:page" stroked="f">
            <v:textbox style="mso-next-textbox:#_x0000_s37443" inset="0,0,0,0">
              <w:txbxContent>
                <w:tbl>
                  <w:tblPr>
                    <w:tblW w:w="12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60"/>
                  </w:tblGrid>
                  <w:tr w:rsidR="00D66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D66A9F" w:rsidRDefault="00D66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44" o:spid="_x0000_s1029" type="#_x0000_t202" style="position:absolute;left:0;text-align:left;margin-left:372.05pt;margin-top:500.55pt;width:101.75pt;height:39pt;z-index:3;mso-wrap-style:none;mso-position-horizontal-relative:page;mso-position-vertical-relative:page" stroked="f">
            <v:textbox style="mso-next-textbox:#_x0000_s37444" inset="0,0,0,0">
              <w:txbxContent>
                <w:tbl>
                  <w:tblPr>
                    <w:tblW w:w="10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9"/>
                  </w:tblGrid>
                  <w:tr w:rsidR="00D66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D66A9F" w:rsidRDefault="00D66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45" o:spid="_x0000_s1030" type="#_x0000_t202" style="position:absolute;left:0;text-align:left;margin-left:88.5pt;margin-top:117.6pt;width:465.1pt;height:329.85pt;z-index:2;mso-wrap-style:none;mso-position-horizontal-relative:page;mso-position-vertical-relative:page" stroked="f">
            <v:textbox style="mso-next-textbox:#_x0000_s37445" inset="0,0,0,0">
              <w:txbxContent>
                <w:tbl>
                  <w:tblPr>
                    <w:tblW w:w="49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0"/>
                    <w:gridCol w:w="1093"/>
                    <w:gridCol w:w="1094"/>
                  </w:tblGrid>
                  <w:tr w:rsidR="00D66A9F" w:rsidRPr="00D66A9F">
                    <w:trPr>
                      <w:jc w:val="right"/>
                    </w:trPr>
                    <w:tc>
                      <w:tcPr>
                        <w:tcW w:w="4353" w:type="pct"/>
                        <w:gridSpan w:val="2"/>
                      </w:tcPr>
                      <w:p w:rsidR="00D66A9F" w:rsidRP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249 לפקודת העיריות 1 יבוא:</w:t>
                        </w:r>
                      </w:p>
                    </w:tc>
                    <w:tc>
                      <w:tcPr>
                        <w:tcW w:w="647" w:type="pct"/>
                        <w:vMerge w:val="restart"/>
                      </w:tcPr>
                      <w:p w:rsidR="00D66A9F" w:rsidRDefault="00D66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66A9F" w:rsidRPr="00D66A9F" w:rsidRDefault="00D66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249א</w:t>
                        </w:r>
                      </w:p>
                    </w:tc>
                  </w:tr>
                  <w:tr w:rsidR="00D66A9F">
                    <w:trPr>
                      <w:jc w:val="right"/>
                    </w:trPr>
                    <w:tc>
                      <w:tcPr>
                        <w:tcW w:w="3707" w:type="pct"/>
                      </w:tcPr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249א. פעלה העירית על פי סמכויותיה לפי סעיף 249(30) והוקמה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חברה, עמותה, אגודה שיתופית או אגודה אחרת שמטרותיה במסגרת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העירית ותפקידיה, ויש בידי העירית לפחות מחצית ההון או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כוח ההצבעה בתאגיד כאמור (להלן - תאגיד עירוני), יחולו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מועצת העירית תקבע את נציגיה בגוף המנהל של התאגיד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העירוני; נציגים אלה יכול שיהיו גם חברי המועצה או עובדי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העיריה;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נציגי העירית להקפיד על כך שפעולות התאגיד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 יהיו במסגרת סמכויות העיריה ותפקידיה ; חובת האמון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חבים לעיריה לעולם תהיה עדיפה על חובתם כלפי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התאגיד;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העירית כאמור, שהינם חברי המועצה, ייבחרו כך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שיישמרו, ככל האפשר, יחסי הכוחות של הסיעות במועצה;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עירית כאמור, שהינו חבר המועצה, יהיה זכאי לגמול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 השתתפותו בישיבות; שר הפנים רשאי לקבוע בתקנות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שיסדירו שיעורו של גמול כאמור;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הוראות סעיף 122א(א) לא יחולו על תאגיד עירוני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כך בלבד שחבר המועצה או עובד העירית הוא נציג העיריה</w:t>
                        </w:r>
                      </w:p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המנהל שלו."</w:t>
                        </w:r>
                      </w:p>
                    </w:tc>
                    <w:tc>
                      <w:tcPr>
                        <w:tcW w:w="646" w:type="pct"/>
                      </w:tcPr>
                      <w:p w:rsidR="00D66A9F" w:rsidRDefault="00D66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''תאגידים</w:t>
                        </w:r>
                      </w:p>
                      <w:p w:rsidR="00D66A9F" w:rsidRPr="00D66A9F" w:rsidRDefault="00D66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עירוניים</w:t>
                        </w:r>
                      </w:p>
                    </w:tc>
                    <w:tc>
                      <w:tcPr>
                        <w:tcW w:w="647" w:type="pct"/>
                        <w:vMerge/>
                      </w:tcPr>
                      <w:p w:rsidR="00D66A9F" w:rsidRDefault="00D66A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66A9F" w:rsidRDefault="00D66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46" o:spid="_x0000_s1031" type="#_x0000_t202" style="position:absolute;left:0;text-align:left;margin-left:114.45pt;margin-top:82.55pt;width:337.4pt;height:23.55pt;z-index:1;mso-wrap-style:none;mso-position-horizontal-relative:page;mso-position-vertical-relative:page" stroked="f">
            <v:textbox style="mso-next-textbox:#_x0000_s37446" inset="0,0,0,0">
              <w:txbxContent>
                <w:tbl>
                  <w:tblPr>
                    <w:tblW w:w="35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3"/>
                  </w:tblGrid>
                  <w:tr w:rsidR="00D66A9F" w:rsidRPr="00D66A9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66A9F" w:rsidRPr="00D66A9F" w:rsidRDefault="00D66A9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לתיקון פקודת העיריות (מס' 32), התשמ"ח-1987 *</w:t>
                        </w:r>
                      </w:p>
                    </w:tc>
                  </w:tr>
                </w:tbl>
                <w:p w:rsidR="00D66A9F" w:rsidRDefault="00D66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6A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E01331-0DB3-4519-A0D0-A21F9C92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6A9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2008-04-07T02:55:00Z</dcterms:created>
  <dcterms:modified xsi:type="dcterms:W3CDTF">2008-04-07T02:55:00Z</dcterms:modified>
</cp:coreProperties>
</file>