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4472E" w:rsidRDefault="0034472E">
      <w:pPr>
        <w:rPr>
          <w:rtl/>
        </w:rPr>
      </w:pPr>
    </w:p>
    <w:p w:rsidR="0034472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60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609" inset="0,0,0,0">
              <w:txbxContent>
                <w:p w:rsidR="00961C47" w:rsidRDefault="00961C47">
                  <w:r>
                    <w:rPr>
                      <w:rtl/>
                    </w:rPr>
                    <w:t>17                                          ספר החוקים 1292                  ט"ו בכסליו התש"נ 13.12.1989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10" o:spid="_x0000_s1026" type="#_x0000_t202" style="position:absolute;left:0;text-align:left;margin-left:166.45pt;margin-top:693.45pt;width:378.4pt;height:54.25pt;z-index:3;mso-wrap-style:none;mso-position-horizontal-relative:page;mso-position-vertical-relative:page" stroked="f">
            <v:textbox style="mso-next-textbox:#_x0000_s37610" inset="0,0,0,0">
              <w:txbxContent>
                <w:p w:rsidR="00961C47" w:rsidRDefault="00961C47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 xml:space="preserve"> * נתקבל לכנסת ביום ז' בכסלו התש"ן (5 בדצמבר 1989): הצעת החוק ודברי הסבר פורסמו בהצעות חוק 1891, מיום כ'</w:t>
                  </w:r>
                </w:p>
                <w:p w:rsidR="00961C47" w:rsidRPr="0034472E" w:rsidRDefault="00961C47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בתמוז התשמ"ח (5 ביולי 1988), עמ' 235.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11" o:spid="_x0000_s1027" type="#_x0000_t202" style="position:absolute;left:0;text-align:left;margin-left:96.55pt;margin-top:345.55pt;width:453.4pt;height:342.75pt;z-index:2;mso-wrap-style:none;mso-position-horizontal-relative:page;mso-position-vertical-relative:page" stroked="f">
            <v:textbox style="mso-next-textbox:#_x0000_s37611" inset="0,0,0,0">
              <w:txbxContent>
                <w:tbl>
                  <w:tblPr>
                    <w:tblW w:w="48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7023"/>
                  </w:tblGrid>
                  <w:tr w:rsidR="00961C47" w:rsidRPr="0034472E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961C47" w:rsidRPr="0034472E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961C47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961C47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"חיסון" - חיסון כמפורט בתוספת:</w:t>
                        </w:r>
                      </w:p>
                      <w:p w:rsidR="00961C47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מומחים" - ועדת המומחים שמונתה לפי סעיף 4;</w:t>
                        </w:r>
                      </w:p>
                      <w:p w:rsidR="00961C47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"נכות" - ליקוי גופני, נפשי או שכלי;</w:t>
                        </w:r>
                      </w:p>
                      <w:p w:rsidR="00961C47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"פגיעה" - נכות או מוות:</w:t>
                        </w:r>
                      </w:p>
                      <w:p w:rsidR="00961C47" w:rsidRPr="0034472E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הבריאות.</w:t>
                        </w:r>
                      </w:p>
                    </w:tc>
                  </w:tr>
                  <w:tr w:rsidR="00961C47" w:rsidRPr="0034472E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961C47" w:rsidRPr="0034472E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ביטוח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961C47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המדינה תבטח בפוליסה בת-תוקף לפי דרישותיו של חוק זה, את כל מי שמקבל חיסון</w:t>
                        </w:r>
                      </w:p>
                      <w:p w:rsidR="00961C47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אדם אחר שבא עמו במגע, מפני פגיעה כתוצאה מחיסון.</w:t>
                        </w:r>
                      </w:p>
                      <w:p w:rsidR="00961C47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בהסכמת שר האוצר, יקבע בתקנות את סכומי הביטוח ואת יתר תנאי</w:t>
                        </w:r>
                      </w:p>
                      <w:p w:rsidR="00961C47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הפוליסה, לרבות הזכאים לתגמולי הביטוח במקרה מוות, והכל ככל שלא נקבעו בחוק זה.</w:t>
                        </w:r>
                      </w:p>
                      <w:p w:rsidR="00961C47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הזכאות לתגמולי הביטוח אין נפקה מינה אם היה או לא היה אשם מצד מי</w:t>
                        </w:r>
                      </w:p>
                      <w:p w:rsidR="00961C47" w:rsidRPr="0034472E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את החיסון, ואם היה או לא היה אשם או אשם תורם של אחר.</w:t>
                        </w:r>
                      </w:p>
                    </w:tc>
                  </w:tr>
                  <w:tr w:rsidR="00961C47" w:rsidRPr="0034472E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961C47" w:rsidRPr="0034472E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מומחים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961C47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השר ימנה ועדת מומחים: חברי הועדה יהיו שופט שימונה בהתייעצות עם נשיא בית</w:t>
                        </w:r>
                      </w:p>
                      <w:p w:rsidR="00961C47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העליון, והוא יהיה היושב ראש, ושני רופאים בעלי תואר מומחה בתחומים הנוגעים לענין</w:t>
                        </w:r>
                      </w:p>
                      <w:p w:rsidR="00961C47" w:rsidRPr="0034472E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העומד לדיון.</w:t>
                        </w:r>
                      </w:p>
                    </w:tc>
                  </w:tr>
                  <w:tr w:rsidR="00961C47" w:rsidRPr="0034472E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961C47" w:rsidRPr="0034472E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קביעות הועדה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961C47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הוגשה תביעה לפי חוק זה, תדון בה ועדת המומחים ותקבע אם קיים קשר סיבתי בין</w:t>
                        </w:r>
                      </w:p>
                      <w:p w:rsidR="00961C47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החיסון לבין הפגיעה, וכן תקבע את דרגת הנכות כאמור בסעיף .6</w:t>
                        </w:r>
                      </w:p>
                      <w:p w:rsidR="00961C47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קביעות הועדה יהיו מנומקות ויחייבו את המבטח בתשלום הנובע מהן בהתאם לתנאי</w:t>
                        </w:r>
                      </w:p>
                      <w:p w:rsidR="00961C47" w:rsidRPr="0034472E" w:rsidRDefault="00961C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הפוליסה.</w:t>
                        </w:r>
                      </w:p>
                    </w:tc>
                  </w:tr>
                </w:tbl>
                <w:p w:rsidR="00961C47" w:rsidRDefault="00961C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12" o:spid="_x0000_s1028" type="#_x0000_t202" style="position:absolute;left:0;text-align:left;margin-left:250.8pt;margin-top:316.05pt;width:204.35pt;height:29.3pt;z-index:1;mso-wrap-style:none;mso-position-horizontal-relative:page;mso-position-vertical-relative:page" stroked="f">
            <v:textbox style="mso-next-textbox:#_x0000_s37612" inset="0,0,0,0">
              <w:txbxContent>
                <w:p w:rsidR="00961C47" w:rsidRPr="0034472E" w:rsidRDefault="00961C47">
                  <w:pPr>
                    <w:pStyle w:val="OCRStyle1"/>
                    <w:ind w:left="72"/>
                    <w:rPr>
                      <w:sz w:val="26"/>
                      <w:szCs w:val="26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ביטוח נפגעי חיסון, התש"ן--1989*</w:t>
                  </w:r>
                </w:p>
              </w:txbxContent>
            </v:textbox>
            <w10:wrap anchorx="page" anchory="page"/>
          </v:shape>
        </w:pict>
      </w:r>
    </w:p>
    <w:p w:rsidR="00961C47" w:rsidRDefault="00961C47">
      <w:pPr>
        <w:rPr>
          <w:rtl/>
        </w:rPr>
      </w:pPr>
      <w:r>
        <w:rPr>
          <w:rtl/>
        </w:rPr>
        <w:br w:type="page"/>
      </w:r>
    </w:p>
    <w:p w:rsidR="00961C47" w:rsidRDefault="00000000">
      <w:pPr>
        <w:rPr>
          <w:rtl/>
        </w:rPr>
      </w:pPr>
      <w:r>
        <w:pict>
          <v:shape id="_x0000_s37613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7613" inset="0,0,0,0">
              <w:txbxContent>
                <w:p w:rsidR="00961C47" w:rsidRDefault="00961C47">
                  <w:r>
                    <w:rPr>
                      <w:rtl/>
                    </w:rPr>
                    <w:t>18                                          ספר החוקים 1292                  ט"ו בכסליו התש"נ 13.12.1989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14" o:spid="_x0000_s1030" type="#_x0000_t202" style="position:absolute;left:0;text-align:left;margin-left:82.15pt;margin-top:703.5pt;width:176pt;height:47.9pt;z-index:10;mso-wrap-style:none;mso-position-horizontal-relative:page;mso-position-vertical-relative:page" stroked="f">
            <v:textbox style="mso-next-textbox:#_x0000_s37614" inset="0,0,0,0">
              <w:txbxContent>
                <w:p w:rsidR="00961C47" w:rsidRDefault="00961C47">
                  <w:pPr>
                    <w:pStyle w:val="OCRStyle2"/>
                    <w:rPr>
                      <w:rtl/>
                    </w:rPr>
                  </w:pPr>
                </w:p>
                <w:p w:rsidR="00961C47" w:rsidRDefault="00961C47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סודר בסדר-צילום, 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15" o:spid="_x0000_s1031" type="#_x0000_t202" style="position:absolute;left:0;text-align:left;margin-left:295.8pt;margin-top:677.35pt;width:168.7pt;height:44.95pt;z-index:9;mso-wrap-style:none;mso-position-horizontal-relative:page;mso-position-vertical-relative:page" stroked="f">
            <v:textbox style="mso-next-textbox:#_x0000_s37615" inset="0,0,0,0">
              <w:txbxContent>
                <w:p w:rsidR="00961C47" w:rsidRDefault="00961C47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ס"ח התשכ"ח, עמ' 108</w:t>
                  </w:r>
                </w:p>
                <w:p w:rsidR="00961C47" w:rsidRDefault="00961C47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דיני מדינת ישראל, נוסח חדש 10, עמ' 266</w:t>
                  </w:r>
                </w:p>
                <w:p w:rsidR="00961C47" w:rsidRPr="00961C47" w:rsidRDefault="00961C47">
                  <w:pPr>
                    <w:pStyle w:val="OCRStyle2"/>
                    <w:ind w:left="43"/>
                  </w:pPr>
                  <w:r>
                    <w:rPr>
                      <w:rtl/>
                    </w:rPr>
                    <w:t>י ע"ר 1940, תוס' א' עמ' 191, התשמ"ח, עמ' 67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16" o:spid="_x0000_s1032" type="#_x0000_t202" style="position:absolute;left:0;text-align:left;margin-left:113.45pt;margin-top:610.85pt;width:80.2pt;height:34.25pt;z-index:8;mso-wrap-style:none;mso-position-horizontal-relative:page;mso-position-vertical-relative:page" stroked="f">
            <v:textbox style="mso-next-textbox:#_x0000_s37616" inset="0,0,0,0">
              <w:txbxContent>
                <w:p w:rsidR="00961C47" w:rsidRDefault="00961C47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יעקב צור</w:t>
                  </w:r>
                </w:p>
                <w:p w:rsidR="00961C47" w:rsidRDefault="00961C47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17" o:spid="_x0000_s1033" type="#_x0000_t202" style="position:absolute;left:0;text-align:left;margin-left:241.55pt;margin-top:607.65pt;width:76.05pt;height:41.6pt;z-index:7;mso-wrap-style:none;mso-position-horizontal-relative:page;mso-position-vertical-relative:page" stroked="f">
            <v:textbox style="mso-next-textbox:#_x0000_s37617" inset="0,0,0,0">
              <w:txbxContent>
                <w:p w:rsidR="00961C47" w:rsidRDefault="00961C47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61C47" w:rsidRDefault="00961C47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18" o:spid="_x0000_s1034" type="#_x0000_t202" style="position:absolute;left:0;text-align:left;margin-left:365.5pt;margin-top:635.8pt;width:85.55pt;height:37.4pt;z-index:6;mso-wrap-style:none;mso-position-horizontal-relative:page;mso-position-vertical-relative:page" stroked="f">
            <v:textbox style="mso-next-textbox:#_x0000_s37618" inset="0,0,0,0">
              <w:txbxContent>
                <w:p w:rsidR="00961C47" w:rsidRDefault="00961C47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61C47" w:rsidRDefault="00961C47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19" o:spid="_x0000_s1035" type="#_x0000_t202" style="position:absolute;left:0;text-align:left;margin-left:76.85pt;margin-top:72.1pt;width:471.05pt;height:530.45pt;z-index:5;mso-wrap-style:none;mso-position-horizontal-relative:page;mso-position-vertical-relative:page" stroked="f">
            <v:textbox style="mso-next-textbox:#_x0000_s37619" inset="0,0,0,0">
              <w:txbxContent>
                <w:tbl>
                  <w:tblPr>
                    <w:tblW w:w="50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1"/>
                    <w:gridCol w:w="1213"/>
                  </w:tblGrid>
                  <w:tr w:rsidR="00961C47" w:rsidRPr="00961C47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המומחים רשאית לקבוע את סדרי עבודתה ודיוניה ככל שלא נקבעו לפי חוק</w:t>
                        </w:r>
                      </w:p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קביעות ועדת המומחים ניתנות לערעור לפני בית המשפט המחוזי</w:t>
                        </w:r>
                      </w:p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לקבוע בתקנות את המועד להגשת ערעור לפי סעיף קטן (א),</w:t>
                        </w:r>
                      </w:p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אופן הגשתו ואת סדרי הדין בו</w:t>
                        </w:r>
                      </w:p>
                    </w:tc>
                    <w:tc>
                      <w:tcPr>
                        <w:tcW w:w="708" w:type="pct"/>
                      </w:tcPr>
                      <w:p w:rsidR="00961C47" w:rsidRP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961C47" w:rsidRPr="00961C47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דרגת הנכות לענין חוק זה תיקבע בהתאם למבחנים ולעקרונות שנקבעו לפי סעיף 61</w:t>
                        </w:r>
                      </w:p>
                      <w:p w:rsidR="00961C47" w:rsidRP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הביטוח הלאומי ןנוסח משולב], התשכ"ח-1968 1.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דרגת</w:t>
                        </w:r>
                      </w:p>
                      <w:p w:rsidR="00961C47" w:rsidRP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</w:t>
                        </w:r>
                      </w:p>
                    </w:tc>
                  </w:tr>
                  <w:tr w:rsidR="00961C47" w:rsidRPr="00961C47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הגיש אדם תביעה לפי חוק זה, לא יהיה רשאי להגיש תביעה לפי פקודת הנזיקין [נוסח</w:t>
                        </w:r>
                      </w:p>
                      <w:p w:rsidR="00961C47" w:rsidRP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חדש]2 בשל אותה פגיעה, וכן להיפר.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961C47" w:rsidRP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ברירת תביעה</w:t>
                        </w:r>
                      </w:p>
                    </w:tc>
                  </w:tr>
                  <w:tr w:rsidR="00961C47" w:rsidRPr="00961C47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השר יקבע בתקנות סכום שייגבה לאוצר המדינה בעד חיסון ושישמש למימון דמי</w:t>
                        </w:r>
                      </w:p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לפי חוק זה.</w:t>
                        </w:r>
                      </w:p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לקבוע בתקנות את דרכי הגביה של הסכום האמור בסעיף קטן (א),</w:t>
                        </w:r>
                      </w:p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-</w:t>
                        </w:r>
                      </w:p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גבייתו ממקבל החיסון או ממי שנותן את החיסון או באמצעותו;</w:t>
                        </w:r>
                      </w:p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גבייתו במסגרת דמי טיפול או אגרת שירותים המשולמים בתחנות לבריאות</w:t>
                        </w:r>
                      </w:p>
                      <w:p w:rsidR="00961C47" w:rsidRP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המשפחה, במרפאות ובבתי הספר.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961C47" w:rsidRP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</w:t>
                        </w:r>
                      </w:p>
                    </w:tc>
                  </w:tr>
                  <w:tr w:rsidR="00961C47" w:rsidRPr="00961C47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השר רשאי, בהסכמת שר האוצר, ולאחר התייעצות עם ועדת המומחים, לשנות בצו את</w:t>
                        </w:r>
                      </w:p>
                      <w:p w:rsidR="00961C47" w:rsidRP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961C47" w:rsidRP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התוספת</w:t>
                        </w:r>
                      </w:p>
                    </w:tc>
                  </w:tr>
                  <w:tr w:rsidR="00961C47" w:rsidRPr="00961C47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961C47" w:rsidRP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חוק זה יחול לענין חיסונים שניתנו החל ביום קבלתו של חוק זה בכנסת.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961C47" w:rsidRP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961C47" w:rsidRPr="00961C47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השר ממונה על ביצוע חוק זה והוא רשאי להתקין תקנות בכל ענין הנוגע לביצועו.</w:t>
                        </w:r>
                      </w:p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וצוים שיתקין השר לפי חוק זה טעונים אישור ועדת העבודה והרווחה של</w:t>
                        </w:r>
                      </w:p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                                                     תוספת</w:t>
                        </w:r>
                      </w:p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0</w:t>
                        </w:r>
                      </w:p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 מחיסונים אלה, ובלבד שלא ניתן כחלק מטיפול רפואי:</w:t>
                        </w:r>
                      </w:p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חיסון משולש - קרמת-צפדת-שעלת (</w:t>
                        </w:r>
                        <w:r>
                          <w:t>DTP</w:t>
                        </w:r>
                        <w:r>
                          <w:rPr>
                            <w:rtl/>
                          </w:rPr>
                          <w:t>) או כל מרכיב שלו בנפרד:</w:t>
                        </w:r>
                      </w:p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חיסון שיתוק ילדים-.</w:t>
                        </w:r>
                      </w:p>
                      <w:p w:rsid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חיסון משולב - חצבת-חזרת-אדמת (</w:t>
                        </w:r>
                        <w:r>
                          <w:t>MMR</w:t>
                        </w:r>
                        <w:r>
                          <w:rPr>
                            <w:rtl/>
                          </w:rPr>
                          <w:t>) או כל מרכיב שלו בנפרד:</w:t>
                        </w:r>
                      </w:p>
                      <w:p w:rsidR="00961C47" w:rsidRP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חיסון אחר שניתן בהתאם לסעיף 19 לפקודת בריאות העם, 31940.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961C47" w:rsidRPr="00961C47" w:rsidRDefault="00961C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961C47" w:rsidRDefault="00961C4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4472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2A924DB-C5F3-4271-AF13-85C381220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4472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61C4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2008-04-07T03:31:00Z</dcterms:created>
  <dcterms:modified xsi:type="dcterms:W3CDTF">2008-04-07T03:31:00Z</dcterms:modified>
</cp:coreProperties>
</file>