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0A91" w:rsidRDefault="00AB0A91">
      <w:pPr>
        <w:rPr>
          <w:rtl/>
        </w:rPr>
      </w:pPr>
    </w:p>
    <w:p w:rsidR="00AB0A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5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657" inset="0,0,0,0">
              <w:txbxContent>
                <w:p w:rsidR="00AB0A91" w:rsidRDefault="00AB0A91">
                  <w:r>
                    <w:rPr>
                      <w:rtl/>
                    </w:rPr>
                    <w:t>4                                           ספר החוקים 1287                    ג' בחשון התש"נ 01.11.1989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58" o:spid="_x0000_s1026" type="#_x0000_t202" style="position:absolute;left:0;text-align:left;margin-left:84.2pt;margin-top:701.65pt;width:170.5pt;height:47.3pt;z-index:7;mso-wrap-style:none;mso-position-horizontal-relative:page;mso-position-vertical-relative:page" stroked="f">
            <v:textbox style="mso-next-textbox:#_x0000_s37658" inset="0,0,0,0">
              <w:txbxContent>
                <w:p w:rsidR="00AB0A91" w:rsidRDefault="00AB0A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9" o:spid="_x0000_s1027" type="#_x0000_t202" style="position:absolute;left:0;text-align:left;margin-left:84.8pt;margin-top:600.3pt;width:377.8pt;height:54.25pt;z-index:6;mso-wrap-style:none;mso-position-horizontal-relative:page;mso-position-vertical-relative:page" stroked="f">
            <v:textbox style="mso-next-textbox:#_x0000_s37659" inset="0,0,0,0">
              <w:txbxContent>
                <w:p w:rsidR="00AB0A91" w:rsidRDefault="00AB0A91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בתשרי התש"ן (23 באוקטובר 1989): הצעת החוק ודברי הסבר פורסמו בהצעות חוק 1856 מיום</w:t>
                  </w:r>
                </w:p>
                <w:p w:rsidR="00AB0A91" w:rsidRDefault="00AB0A9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ד' בכסלו התשמ"ח (25 בנובמבר 1987), עמי 26.</w:t>
                  </w:r>
                </w:p>
                <w:p w:rsidR="00AB0A91" w:rsidRPr="00AB0A91" w:rsidRDefault="00AB0A91">
                  <w:pPr>
                    <w:pStyle w:val="OCRStyle1"/>
                    <w:ind w:left="29"/>
                  </w:pPr>
                  <w:r>
                    <w:rPr>
                      <w:rtl/>
                    </w:rPr>
                    <w:t>1 ס"ח התשל"ז, עמ' 182; (התשל"ח, עמ' 45): התשמ"ד, עמ' 88: התשמ"ח, עמ' 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60" o:spid="_x0000_s1028" type="#_x0000_t202" style="position:absolute;left:0;text-align:left;margin-left:109.95pt;margin-top:519.1pt;width:81.75pt;height:37.05pt;z-index:5;mso-wrap-style:none;mso-position-horizontal-relative:page;mso-position-vertical-relative:page" stroked="f">
            <v:textbox style="mso-next-textbox:#_x0000_s37660" inset="0,0,0,0">
              <w:txbxContent>
                <w:p w:rsidR="00AB0A91" w:rsidRDefault="00AB0A9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AB0A91" w:rsidRDefault="00AB0A91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61" o:spid="_x0000_s1029" type="#_x0000_t202" style="position:absolute;left:0;text-align:left;margin-left:234.9pt;margin-top:519.1pt;width:81.75pt;height:30.9pt;z-index:4;mso-wrap-style:none;mso-position-horizontal-relative:page;mso-position-vertical-relative:page" stroked="f">
            <v:textbox style="mso-next-textbox:#_x0000_s37661" inset="0,0,0,0">
              <w:txbxContent>
                <w:p w:rsidR="00AB0A91" w:rsidRDefault="00AB0A9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B0A91" w:rsidRDefault="00AB0A91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62" o:spid="_x0000_s1030" type="#_x0000_t202" style="position:absolute;left:0;text-align:left;margin-left:361.4pt;margin-top:544.85pt;width:81.75pt;height:41.4pt;z-index:3;mso-wrap-style:none;mso-position-horizontal-relative:page;mso-position-vertical-relative:page" stroked="f">
            <v:textbox style="mso-next-textbox:#_x0000_s37662" inset="0,0,0,0">
              <w:txbxContent>
                <w:p w:rsidR="00AB0A91" w:rsidRDefault="00AB0A91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B0A91" w:rsidRDefault="00AB0A91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63" o:spid="_x0000_s1031" type="#_x0000_t202" style="position:absolute;left:0;text-align:left;margin-left:80.85pt;margin-top:358.15pt;width:460.55pt;height:156.6pt;z-index:2;mso-wrap-style:none;mso-position-horizontal-relative:page;mso-position-vertical-relative:page" stroked="f">
            <v:textbox style="mso-next-textbox:#_x0000_s37663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193"/>
                  </w:tblGrid>
                  <w:tr w:rsidR="00AB0A91" w:rsidRPr="00AB0A91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AB0A91" w:rsidRDefault="00AB0A9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43 לחוק רשות שדות התעופה, התשל"ז-1977 1 (להלן - החוק העיקרי) -</w:t>
                        </w:r>
                      </w:p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והקטע המתחיל במלה "לרבות" והמסתיים במלה</w:t>
                        </w:r>
                      </w:p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"העיקרית" - יימחק:</w:t>
                        </w:r>
                      </w:p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חובת ההעברה האמורה בסעיף קטן (א) לא תחול לענין מניות של</w:t>
                        </w:r>
                      </w:p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בכל תאגיד המפעיל בשדה תעופה של הרשות שירותים שהרשות</w:t>
                        </w:r>
                      </w:p>
                      <w:p w:rsidR="00AB0A91" w:rsidRP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או רשאית לתתם לפי סעיף 5 ושהפעלתם היא מטרתו העיקרית".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B0A91" w:rsidRP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AB0A91" w:rsidRPr="00AB0A91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46(א&gt; לחוק העיקרי, בסופו יבוא: "הממשלה והרשות יביאו את ההסכם לאישורה</w:t>
                        </w:r>
                      </w:p>
                      <w:p w:rsidR="00AB0A91" w:rsidRP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הכלכלה של הכנסת לא יאוחר מיום ג' באדר התש"ן (28 בפברואר 1990)".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B0A91" w:rsidRPr="00AB0A91" w:rsidRDefault="00AB0A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</w:tbl>
                <w:p w:rsidR="00AB0A91" w:rsidRDefault="00AB0A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64" o:spid="_x0000_s1032" type="#_x0000_t202" style="position:absolute;left:0;text-align:left;margin-left:135.9pt;margin-top:328.05pt;width:288.3pt;height:29.3pt;z-index:1;mso-wrap-style:none;mso-position-horizontal-relative:page;mso-position-vertical-relative:page" stroked="f">
            <v:textbox style="mso-next-textbox:#_x0000_s37664" inset="0,0,0,0">
              <w:txbxContent>
                <w:p w:rsidR="00AB0A91" w:rsidRPr="00AB0A91" w:rsidRDefault="00AB0A91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שדות התעופה (תיקון מס' 3),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0A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2BD1EF-4D55-4AE4-9920-47F45F2B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0A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2008-04-07T03:30:00Z</dcterms:created>
  <dcterms:modified xsi:type="dcterms:W3CDTF">2008-04-07T03:30:00Z</dcterms:modified>
</cp:coreProperties>
</file>