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C552C" w:rsidRDefault="002C552C">
      <w:pPr>
        <w:rPr>
          <w:rtl/>
        </w:rPr>
      </w:pPr>
    </w:p>
    <w:p w:rsidR="002C552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78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783" inset="0,0,0,0">
              <w:txbxContent>
                <w:p w:rsidR="00C20985" w:rsidRDefault="00C20985">
                  <w:r>
                    <w:rPr>
                      <w:rtl/>
                    </w:rPr>
                    <w:t>140                                         ספר החוקים 1258                    י"ב באב התשמ"ח 26.07.1988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784" o:spid="_x0000_s1026" type="#_x0000_t202" style="position:absolute;left:0;text-align:left;margin-left:79.75pt;margin-top:678.35pt;width:379.75pt;height:33.65pt;z-index:3;mso-wrap-style:none;mso-position-horizontal-relative:page;mso-position-vertical-relative:page" stroked="f">
            <v:textbox style="mso-next-textbox:#_x0000_s37784" inset="0,0,0,0">
              <w:txbxContent>
                <w:tbl>
                  <w:tblPr>
                    <w:tblW w:w="405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04"/>
                  </w:tblGrid>
                  <w:tr w:rsidR="00C20985" w:rsidRPr="002C552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20985" w:rsidRDefault="00C209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י"א באב התשמ"ח (25 ביולי 1988): הצעת החוק ודברי הסבר פורסמו בה"ח 1869, התשמ"ח</w:t>
                        </w:r>
                      </w:p>
                      <w:p w:rsidR="00C20985" w:rsidRDefault="00C209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122.</w:t>
                        </w:r>
                      </w:p>
                      <w:p w:rsidR="00C20985" w:rsidRPr="002C552C" w:rsidRDefault="00C209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התשי"א, עמ' 228: התשמ"ו, עמ' 36.</w:t>
                        </w:r>
                      </w:p>
                    </w:tc>
                  </w:tr>
                </w:tbl>
                <w:p w:rsidR="00C20985" w:rsidRDefault="00C2098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785" o:spid="_x0000_s1027" type="#_x0000_t202" style="position:absolute;left:0;text-align:left;margin-left:76.4pt;margin-top:118pt;width:453.8pt;height:539.55pt;z-index:2;mso-wrap-style:none;mso-position-horizontal-relative:page;mso-position-vertical-relative:page" stroked="f">
            <v:textbox style="mso-next-textbox:#_x0000_s37785" inset="0,0,0,0">
              <w:txbxContent>
                <w:tbl>
                  <w:tblPr>
                    <w:tblW w:w="48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4"/>
                    <w:gridCol w:w="1256"/>
                  </w:tblGrid>
                  <w:tr w:rsidR="00C20985" w:rsidRPr="002C552C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C20985" w:rsidRPr="002C552C" w:rsidRDefault="00C209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אחרי סעיף 13 לחוק חסינות חברי הכנסת, זכויותיהם וחובותיהם, התשי"א-1951 1, יבוא: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20985" w:rsidRDefault="00C209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C20985" w:rsidRPr="002C552C" w:rsidRDefault="00C209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13א עד 13ה</w:t>
                        </w:r>
                      </w:p>
                    </w:tc>
                  </w:tr>
                  <w:tr w:rsidR="00C20985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C20985" w:rsidRDefault="00C209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 עיסוק 13א. (א) חבר הכנסת לא יעסוק בכל עסק או בכל עיסוק נוסף אלא אם כ</w:t>
                        </w:r>
                      </w:p>
                      <w:p w:rsidR="00C20985" w:rsidRDefault="00C209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 העיסוק הוא מותר או שקיבל היתר מאת ועדת ההיתרים.</w:t>
                        </w:r>
                      </w:p>
                      <w:p w:rsidR="00C20985" w:rsidRDefault="00C209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 -</w:t>
                        </w:r>
                      </w:p>
                      <w:p w:rsidR="00C20985" w:rsidRDefault="00C209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"לעסוק" - בין בעצמו ובין בשיתוף עם אחר, לרבות עובד או שלוח;</w:t>
                        </w:r>
                      </w:p>
                      <w:p w:rsidR="00C20985" w:rsidRDefault="00C209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"עיסוף נוסף" -</w:t>
                        </w:r>
                      </w:p>
                      <w:p w:rsidR="00C20985" w:rsidRDefault="00C209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עיסוק נוסף על העיסוק כחבר הכנסת, לרבות עיסוק חד פעמי</w:t>
                        </w:r>
                      </w:p>
                      <w:p w:rsidR="00C20985" w:rsidRDefault="00C209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ייצוג של אדם אחר, מתן ייעוץ או קיום פעילות שתדלנית למענו</w:t>
                        </w:r>
                      </w:p>
                      <w:p w:rsidR="00C20985" w:rsidRDefault="00C209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בין בתמורה כספית ובין בתמורה חומרית אחרת;</w:t>
                        </w:r>
                      </w:p>
                      <w:p w:rsidR="00C20985" w:rsidRDefault="00C209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כהונה כראש רשות מקומית או כיושב ראש של רשות, שי</w:t>
                        </w:r>
                      </w:p>
                      <w:p w:rsidR="00C20985" w:rsidRDefault="00C209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 או של מוסד ממלכתיים;</w:t>
                        </w:r>
                      </w:p>
                      <w:p w:rsidR="00C20985" w:rsidRDefault="00C209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תפקיד אחר של קבע שיש בו ניגוד ענינים בין תפקידו שי</w:t>
                        </w:r>
                      </w:p>
                      <w:p w:rsidR="00C20985" w:rsidRDefault="00C209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הכנסת כחבר הכנסת ובין התפקיד האחר;</w:t>
                        </w:r>
                      </w:p>
                      <w:p w:rsidR="00C20985" w:rsidRDefault="00C209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"עיסוק מותר" - עיסוק כתחום שהוא נושא לזכות קנין רוחני ושנתקיימו ב</w:t>
                        </w:r>
                      </w:p>
                      <w:p w:rsidR="00C20985" w:rsidRDefault="00C209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13ג(א).</w:t>
                        </w:r>
                      </w:p>
                      <w:p w:rsidR="00C20985" w:rsidRDefault="00C209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 יראו כתמורה חומרית גם העמדת רכב, משרד</w:t>
                        </w:r>
                      </w:p>
                      <w:p w:rsidR="00C20985" w:rsidRDefault="00C209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משרד ושירותי טלפון לרשות חבר הכנסת; ואולם לא יראו כתמורו</w:t>
                        </w:r>
                      </w:p>
                      <w:p w:rsidR="00C20985" w:rsidRDefault="00C209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חומרית -</w:t>
                        </w:r>
                      </w:p>
                      <w:p w:rsidR="00C20985" w:rsidRDefault="00C209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העמדת רכב לרשותו של חבר הכנסת הממלא תפקיד ציבור</w:t>
                        </w:r>
                      </w:p>
                      <w:p w:rsidR="00C20985" w:rsidRDefault="00C209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מפלגתי לצורך אותו תפקיד וכן לצרכיו הפרטיים, אם חבו</w:t>
                        </w:r>
                      </w:p>
                      <w:p w:rsidR="00C20985" w:rsidRDefault="00C209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שילם מדי חודש בחודשו למי שהעמיד את הרכב לרשותו או</w:t>
                        </w:r>
                      </w:p>
                      <w:p w:rsidR="00C20985" w:rsidRDefault="00C209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 השימוש ברכב, בשיעור שקבעה ועדת הכנסת, ורשאית היא</w:t>
                        </w:r>
                      </w:p>
                      <w:p w:rsidR="00C20985" w:rsidRDefault="00C209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סוגים ותנאים לענין זה;</w:t>
                        </w:r>
                      </w:p>
                      <w:p w:rsidR="00C20985" w:rsidRDefault="00C209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העמדת רכב, משרד, שירותי משרד ושירותי טלפון לרשוו</w:t>
                        </w:r>
                      </w:p>
                      <w:p w:rsidR="00C20985" w:rsidRDefault="00C209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הכנסת ככל שהם משמשים לצורך תפקיד ציבורי או מפלגתי</w:t>
                        </w:r>
                      </w:p>
                      <w:p w:rsidR="00C20985" w:rsidRDefault="00C209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החזר הוצאות ממשיות שהוציא חבר הכנסת בדרך מקובלי</w:t>
                        </w:r>
                      </w:p>
                      <w:p w:rsidR="00C20985" w:rsidRDefault="00C209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אותו תפקיד.</w:t>
                        </w:r>
                      </w:p>
                      <w:p w:rsidR="00C20985" w:rsidRDefault="00C209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יראו כעיסוק בעסק או כעיסוק נוסף -</w:t>
                        </w:r>
                      </w:p>
                      <w:p w:rsidR="00C20985" w:rsidRDefault="00C209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החזקה בלבד של מניות בתאגיד;</w:t>
                        </w:r>
                      </w:p>
                      <w:p w:rsidR="00C20985" w:rsidRDefault="00C209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ניהול הנכסים של חכר הכנסת או של משפחתו.</w:t>
                        </w:r>
                      </w:p>
                      <w:p w:rsidR="00C20985" w:rsidRDefault="00C209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סעיף זה לא יחול בתקופה של תשעת החדשים הראשונים לכהונת</w:t>
                        </w:r>
                      </w:p>
                      <w:p w:rsidR="00C20985" w:rsidRPr="002C552C" w:rsidRDefault="00C209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חבר הכנסת, ובלבד שערב אותה תקופה לא כיהן כחבר הכנסת.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20985" w:rsidRDefault="00C2098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0985" w:rsidRDefault="00C2098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786" o:spid="_x0000_s1028" type="#_x0000_t202" style="position:absolute;left:0;text-align:left;margin-left:100.55pt;margin-top:72.85pt;width:332.45pt;height:37.05pt;z-index:1;mso-wrap-style:none;mso-position-horizontal-relative:page;mso-position-vertical-relative:page" stroked="f">
            <v:textbox style="mso-next-textbox:#_x0000_s37786" inset="0,0,0,0">
              <w:txbxContent>
                <w:tbl>
                  <w:tblPr>
                    <w:tblW w:w="35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45"/>
                  </w:tblGrid>
                  <w:tr w:rsidR="00C20985" w:rsidRPr="002C552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20985" w:rsidRDefault="00C2098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חסינות חברי הכנסת, זכויותיהם וחובותיהם (תיקון מס' 5),</w:t>
                        </w:r>
                      </w:p>
                      <w:p w:rsidR="00C20985" w:rsidRPr="002C552C" w:rsidRDefault="00C2098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התשמ"ח-1988*</w:t>
                        </w:r>
                      </w:p>
                    </w:tc>
                  </w:tr>
                </w:tbl>
                <w:p w:rsidR="00C20985" w:rsidRDefault="00C2098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E41529" w:rsidRDefault="00E41529">
      <w:pPr>
        <w:rPr>
          <w:rtl/>
        </w:rPr>
      </w:pPr>
      <w:r>
        <w:rPr>
          <w:rtl/>
        </w:rPr>
        <w:br w:type="page"/>
      </w:r>
    </w:p>
    <w:p w:rsidR="00E41529" w:rsidRDefault="00000000">
      <w:pPr>
        <w:rPr>
          <w:rtl/>
        </w:rPr>
      </w:pPr>
      <w:r>
        <w:pict>
          <v:shape id="_x0000_s37787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7787" inset="0,0,0,0">
              <w:txbxContent>
                <w:p w:rsidR="00C20985" w:rsidRDefault="00C20985">
                  <w:r>
                    <w:rPr>
                      <w:rtl/>
                    </w:rPr>
                    <w:t>141                                         ספר החוקים 1258                    י"ב באב התשמ"ח 26.07.1988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788" o:spid="_x0000_s1030" type="#_x0000_t202" style="position:absolute;left:0;text-align:left;margin-left:156.6pt;margin-top:63.2pt;width:404.7pt;height:635pt;z-index:5;mso-wrap-style:none;mso-position-horizontal-relative:page;mso-position-vertical-relative:page" stroked="f">
            <v:textbox style="mso-next-textbox:#_x0000_s37788" inset="0,0,0,0">
              <w:txbxContent>
                <w:tbl>
                  <w:tblPr>
                    <w:tblW w:w="43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24"/>
                    <w:gridCol w:w="1235"/>
                  </w:tblGrid>
                  <w:tr w:rsidR="00C20985" w:rsidRPr="00E41529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C20985" w:rsidRDefault="00C209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13ב. תוקם ועדת היתרים של שלושה שימנה יושב ראש הכנסת תוך שלושים</w:t>
                        </w:r>
                      </w:p>
                      <w:p w:rsidR="00C20985" w:rsidRDefault="00C209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בחירתו; הועדה תכהן במשך תקופת כהונתה של אותה כנסת,</w:t>
                        </w:r>
                      </w:p>
                      <w:p w:rsidR="00C20985" w:rsidRDefault="00C209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וחבריה יהיו: שופט של בית המשפט העליון שיצא לקיצבה או שפרש, והוא</w:t>
                        </w:r>
                      </w:p>
                      <w:p w:rsidR="00C20985" w:rsidRPr="00E41529" w:rsidRDefault="00C209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היושב ראש, ושני חברי הכנסת שיצאו לקיצבה.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C20985" w:rsidRPr="00E41529" w:rsidRDefault="00C209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היתרים</w:t>
                        </w:r>
                      </w:p>
                    </w:tc>
                  </w:tr>
                  <w:tr w:rsidR="00C20985" w:rsidRPr="00E41529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C20985" w:rsidRDefault="00C209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13ג. (א) ועדת ההיתרים לא תתן לחבר הכנסת היתר לעיסוק נוסף אלא אם</w:t>
                        </w:r>
                      </w:p>
                      <w:p w:rsidR="00C20985" w:rsidRDefault="00C209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הוכיח, להנחת דעתה, כי נתקיימו כל אלה:</w:t>
                        </w:r>
                      </w:p>
                      <w:p w:rsidR="00C20985" w:rsidRDefault="00C209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יהא בעיסוק הנוסף כדי לפגוע בכבוד הכנסת, במעמדו</w:t>
                        </w:r>
                      </w:p>
                      <w:p w:rsidR="00C20985" w:rsidRDefault="00C209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כחבר הכנסת או בחובותיו כחבר הכנסת;</w:t>
                        </w:r>
                      </w:p>
                      <w:p w:rsidR="00C20985" w:rsidRDefault="00C209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העיסוק הנוסף הוא ארעי ולא יהא בו כדי לגרוע מן הזמן</w:t>
                        </w:r>
                      </w:p>
                      <w:p w:rsidR="00C20985" w:rsidRDefault="00C209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הנדרש לו למילוי תפקידו כחבר הכנסת;</w:t>
                        </w:r>
                      </w:p>
                      <w:p w:rsidR="00C20985" w:rsidRDefault="00C209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אין ולא תהא אפשרות של ניגוד ענינים בין מילוי תפקידו</w:t>
                        </w:r>
                      </w:p>
                      <w:p w:rsidR="00C20985" w:rsidRDefault="00C209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כחבר הכנסת לבין העיסוק הנוסף;</w:t>
                        </w:r>
                      </w:p>
                      <w:p w:rsidR="00C20985" w:rsidRDefault="00C209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לא יהא בעיסוק הנוסף כדי לעורר חשש של ניצול לרעה או</w:t>
                        </w:r>
                      </w:p>
                      <w:p w:rsidR="00C20985" w:rsidRDefault="00C209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השגת יתרון או העדפה בשל היותו חבר הכנסת.</w:t>
                        </w:r>
                      </w:p>
                      <w:p w:rsidR="00C20985" w:rsidRDefault="00C209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ועדת ההיתרים לא תהא רשאית להתיר ייצוג לפני רשויות ממשל,</w:t>
                        </w:r>
                      </w:p>
                      <w:p w:rsidR="00C20985" w:rsidRDefault="00C209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והיתר שנתנה לעיסוק נוסף לא יראו בו היתר לייצוג כאמור; לענין זה, "רשות</w:t>
                        </w:r>
                      </w:p>
                      <w:p w:rsidR="00C20985" w:rsidRDefault="00C209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ממשל" - רשות מרשויות המדינה, לרבות בית משפט ובית דין, וכן רשות</w:t>
                        </w:r>
                      </w:p>
                      <w:p w:rsidR="00C20985" w:rsidRDefault="00C209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מקומית, ורשות, תאגיד או מוסד ממלכתיים.</w:t>
                        </w:r>
                      </w:p>
                      <w:p w:rsidR="00C20985" w:rsidRDefault="00C209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ההיתרים רשאית להתנות היתר לעיסוק נוסף בתנאים, אף</w:t>
                        </w:r>
                      </w:p>
                      <w:p w:rsidR="00C20985" w:rsidRDefault="00C209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שניתן, וכן רשאית היא להתלותו או לבטלו.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C20985" w:rsidRDefault="00C209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לעיסוק</w:t>
                        </w:r>
                      </w:p>
                      <w:p w:rsidR="00C20985" w:rsidRPr="00E41529" w:rsidRDefault="00C209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</w:t>
                        </w:r>
                      </w:p>
                    </w:tc>
                  </w:tr>
                  <w:tr w:rsidR="00C20985" w:rsidRPr="00E41529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C20985" w:rsidRDefault="00C209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 ד. (א) חבר הכנסת שעשה אחת מאלה יהיה נתון לשיפוטה של ועדת</w:t>
                        </w:r>
                      </w:p>
                      <w:p w:rsidR="00C20985" w:rsidRDefault="00C209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האתיקה של חברי הכנסת:</w:t>
                        </w:r>
                      </w:p>
                      <w:p w:rsidR="00C20985" w:rsidRDefault="00C209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עבר על סעיף 13א(א);</w:t>
                        </w:r>
                      </w:p>
                      <w:p w:rsidR="00C20985" w:rsidRDefault="00C209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הפר תנאי מתנאי ההיתר לעיסוק נוסף שנתנה לו ועדת</w:t>
                        </w:r>
                      </w:p>
                      <w:p w:rsidR="00C20985" w:rsidRDefault="00C209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ההיתרים.</w:t>
                        </w:r>
                      </w:p>
                      <w:p w:rsidR="00C20985" w:rsidRDefault="00C209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האתיקה תהיה של ארבעה חברי הכנסת שימנה יושב ראש</w:t>
                        </w:r>
                      </w:p>
                      <w:p w:rsidR="00C20985" w:rsidRDefault="00C209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למשך תקופת כהונתה של אותה כנסת, בהתחשב,. בין השאר, בהרכב</w:t>
                        </w:r>
                      </w:p>
                      <w:p w:rsidR="00C20985" w:rsidRDefault="00C209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הסיעתי של הכנסת, והוא יקבע את היושב ראש שלה מבין חבריה.</w:t>
                        </w:r>
                      </w:p>
                      <w:p w:rsidR="00C20985" w:rsidRDefault="00C209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האתיקה -</w:t>
                        </w:r>
                      </w:p>
                      <w:p w:rsidR="00C20985" w:rsidRDefault="00C209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תקבע לעצמה את דרכי עבודתה ואת נהלי דיוניה;</w:t>
                        </w:r>
                      </w:p>
                      <w:p w:rsidR="00C20985" w:rsidRDefault="00C209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תהא כפופה לדיני הראיות ותפעל בדרך הנראית לה</w:t>
                        </w:r>
                      </w:p>
                      <w:p w:rsidR="00C20985" w:rsidRDefault="00C209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מועילה כיותר לבירור הקובלנות שיובאו לפניה.</w:t>
                        </w:r>
                      </w:p>
                      <w:p w:rsidR="00C20985" w:rsidRDefault="00C209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קבעה ועדת האתיקה, ברוב קולות של כל חבריה, כי חבר הכנסת</w:t>
                        </w:r>
                      </w:p>
                      <w:p w:rsidR="00C20985" w:rsidRDefault="00C209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עבר על הוראות סעיף קטן (א), רשאית היא להטיל עליו אחת מאלה:</w:t>
                        </w:r>
                      </w:p>
                      <w:p w:rsidR="00C20985" w:rsidRDefault="00C209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הערה;</w:t>
                        </w:r>
                      </w:p>
                      <w:p w:rsidR="00C20985" w:rsidRDefault="00C209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אזהרה;</w:t>
                        </w:r>
                      </w:p>
                      <w:p w:rsidR="00C20985" w:rsidRPr="00E41529" w:rsidRDefault="00C209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נזיפה.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C20985" w:rsidRPr="00E41529" w:rsidRDefault="00C209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אתיקה</w:t>
                        </w:r>
                      </w:p>
                    </w:tc>
                  </w:tr>
                </w:tbl>
                <w:p w:rsidR="00C20985" w:rsidRDefault="00C2098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20985" w:rsidRDefault="00C20985">
      <w:pPr>
        <w:rPr>
          <w:rtl/>
        </w:rPr>
      </w:pPr>
      <w:r>
        <w:rPr>
          <w:rtl/>
        </w:rPr>
        <w:br w:type="page"/>
      </w:r>
    </w:p>
    <w:p w:rsidR="00C20985" w:rsidRDefault="00000000">
      <w:pPr>
        <w:rPr>
          <w:rtl/>
        </w:rPr>
      </w:pPr>
      <w:r>
        <w:pict>
          <v:shape id="_x0000_s37789" o:spid="_x0000_s1031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7789" inset="0,0,0,0">
              <w:txbxContent>
                <w:p w:rsidR="00C20985" w:rsidRDefault="00C20985">
                  <w:r>
                    <w:rPr>
                      <w:rtl/>
                    </w:rPr>
                    <w:t>142                                         ספר החוקים 1258                    י"ב באב התשמ"ח 26.07.1988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790" o:spid="_x0000_s1032" type="#_x0000_t202" style="position:absolute;left:0;text-align:left;margin-left:312.4pt;margin-top:603.95pt;width:156.2pt;height:24.15pt;z-index:10;mso-wrap-style:none;mso-position-horizontal-relative:page;mso-position-vertical-relative:page" stroked="f">
            <v:textbox style="mso-next-textbox:#_x0000_s37790" inset="0,0,0,0">
              <w:txbxContent>
                <w:tbl>
                  <w:tblPr>
                    <w:tblW w:w="16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840"/>
                  </w:tblGrid>
                  <w:tr w:rsidR="00C20985" w:rsidRPr="00C2098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20985" w:rsidRPr="00C20985" w:rsidRDefault="00C2098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ס"ח התש"ט, עמ' 41.</w:t>
                        </w:r>
                      </w:p>
                    </w:tc>
                  </w:tr>
                </w:tbl>
                <w:p w:rsidR="00C20985" w:rsidRDefault="00C2098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7791" o:spid="_x0000_s1033" type="#_x0000_t202" style="position:absolute;left:0;text-align:left;margin-left:108.05pt;margin-top:514.65pt;width:79.6pt;height:48.1pt;z-index:9;mso-wrap-style:none;mso-position-horizontal-relative:page;mso-position-vertical-relative:page" stroked="f">
            <v:textbox style="mso-next-textbox:#_x0000_s37791" inset="0,0,0,0">
              <w:txbxContent>
                <w:tbl>
                  <w:tblPr>
                    <w:tblW w:w="8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7"/>
                  </w:tblGrid>
                  <w:tr w:rsidR="00C2098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20985" w:rsidRDefault="00C2098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C20985" w:rsidRDefault="00C2098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C20985" w:rsidRDefault="00C2098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7792" o:spid="_x0000_s1034" type="#_x0000_t202" style="position:absolute;left:0;text-align:left;margin-left:340.7pt;margin-top:549.1pt;width:114.25pt;height:43.55pt;z-index:8;mso-wrap-style:none;mso-position-horizontal-relative:page;mso-position-vertical-relative:page" stroked="f">
            <v:textbox style="mso-next-textbox:#_x0000_s37792" inset="0,0,0,0">
              <w:txbxContent>
                <w:tbl>
                  <w:tblPr>
                    <w:tblW w:w="12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076"/>
                  </w:tblGrid>
                  <w:tr w:rsidR="00C2098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20985" w:rsidRDefault="00C2098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C20985" w:rsidRDefault="00C2098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C20985" w:rsidRDefault="00C2098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7793" o:spid="_x0000_s1035" type="#_x0000_t202" style="position:absolute;left:0;text-align:left;margin-left:78.35pt;margin-top:67pt;width:467.5pt;height:436.4pt;z-index:7;mso-wrap-style:none;mso-position-horizontal-relative:page;mso-position-vertical-relative:page" stroked="f">
            <v:textbox style="mso-next-textbox:#_x0000_s37793" inset="0,0,0,0">
              <w:txbxContent>
                <w:tbl>
                  <w:tblPr>
                    <w:tblW w:w="498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65"/>
                    <w:gridCol w:w="1368"/>
                    <w:gridCol w:w="1266"/>
                  </w:tblGrid>
                  <w:tr w:rsidR="00C20985">
                    <w:trPr>
                      <w:jc w:val="right"/>
                    </w:trPr>
                    <w:tc>
                      <w:tcPr>
                        <w:tcW w:w="3450" w:type="pct"/>
                      </w:tcPr>
                      <w:p w:rsidR="00C20985" w:rsidRDefault="00C2098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הרחקה מישיבות מליאת הכנסת וועדותיה לתקופה שלא</w:t>
                        </w:r>
                      </w:p>
                      <w:p w:rsidR="00C20985" w:rsidRDefault="00C2098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תעלה על ששה חדשים ובלבד שחבר הכנסת יהיה רשאי להיכנס</w:t>
                        </w:r>
                      </w:p>
                      <w:p w:rsidR="00C20985" w:rsidRDefault="00C2098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לישיבה לצורך הצבעה בלבד.</w:t>
                        </w:r>
                      </w:p>
                      <w:p w:rsidR="00C20985" w:rsidRDefault="00C2098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תטיל ועדת האתיקה הרחקה כאמור בסעיף קטן (ד)(4) במקרים</w:t>
                        </w:r>
                      </w:p>
                      <w:p w:rsidR="00C20985" w:rsidRDefault="00C2098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הבאים:</w:t>
                        </w:r>
                      </w:p>
                      <w:p w:rsidR="00C20985" w:rsidRDefault="00C2098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חבר הכנסת עסק בעיסוק נוסף בנסיבות שבהן ועדת</w:t>
                        </w:r>
                      </w:p>
                      <w:p w:rsidR="00C20985" w:rsidRDefault="00C2098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ההיתרים היתה רשאית לתת היתר לגביו אילו חבר הכנסת ביקש</w:t>
                        </w:r>
                      </w:p>
                      <w:p w:rsidR="00C20985" w:rsidRDefault="00C2098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או שהיתה מנועה מתיתו בשל כך בלבד שלא נתקיים האמור</w:t>
                        </w:r>
                      </w:p>
                      <w:p w:rsidR="00C20985" w:rsidRDefault="00C2098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13ג(א)(2):</w:t>
                        </w:r>
                      </w:p>
                      <w:p w:rsidR="00C20985" w:rsidRDefault="00C2098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חבר הכנסת הפר תנאי מתנאי ההיתר שנתנה לו ועדת</w:t>
                        </w:r>
                      </w:p>
                      <w:p w:rsidR="00C20985" w:rsidRDefault="00C2098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ההיתרים.</w:t>
                        </w:r>
                      </w:p>
                      <w:p w:rsidR="00C20985" w:rsidRDefault="00C2098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בנוסף לאמור בסעיף קטן (ד)(1) עד (3), או במקומו, רשאית ועדת</w:t>
                        </w:r>
                      </w:p>
                      <w:p w:rsidR="00C20985" w:rsidRDefault="00C2098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האתיקה לפרסם את החלטתה, כולה או חלקה, בדרך שתורה, בציון שמו של</w:t>
                        </w:r>
                      </w:p>
                      <w:p w:rsidR="00C20985" w:rsidRDefault="00C2098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הכנסת או בלא ציון שמו; החליטה הועדה כאמור בסעיף קטן (ד40) -</w:t>
                        </w:r>
                      </w:p>
                      <w:p w:rsidR="00C20985" w:rsidRDefault="00C2098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תפרסם את החלטתה בציון שמו של חבר הכנסת.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C20985" w:rsidRDefault="00C2098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5" w:type="pct"/>
                      </w:tcPr>
                      <w:p w:rsidR="00C20985" w:rsidRDefault="00C2098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20985">
                    <w:trPr>
                      <w:jc w:val="right"/>
                    </w:trPr>
                    <w:tc>
                      <w:tcPr>
                        <w:tcW w:w="3450" w:type="pct"/>
                      </w:tcPr>
                      <w:p w:rsidR="00C20985" w:rsidRDefault="00C2098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13ה. ועדת הכנסת רשאית להתקין כללי אתיקה לחברי הכנסת; כללי</w:t>
                        </w:r>
                      </w:p>
                      <w:p w:rsidR="00C20985" w:rsidRDefault="00C2098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האתיקה שהתקינה ועדת הכנסת לפני תחילתו של חוק חסינות חברי הכנסת,</w:t>
                        </w:r>
                      </w:p>
                      <w:p w:rsidR="00C20985" w:rsidRDefault="00C2098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זכויותיהם וחובותיהם (תיקון מס' 5), התשמ"ח-1988, ייראו כאילו הותקנו</w:t>
                        </w:r>
                      </w:p>
                      <w:p w:rsidR="00C20985" w:rsidRPr="00C20985" w:rsidRDefault="00C2098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סעיף זה, ככל שאינם סותרים את האמור בסעיפים 13א עד 13ד."</w:t>
                        </w:r>
                      </w:p>
                    </w:tc>
                    <w:tc>
                      <w:tcPr>
                        <w:tcW w:w="805" w:type="pct"/>
                      </w:tcPr>
                      <w:p w:rsidR="00C20985" w:rsidRPr="00C20985" w:rsidRDefault="00C2098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 אתיקה</w:t>
                        </w:r>
                      </w:p>
                    </w:tc>
                    <w:tc>
                      <w:tcPr>
                        <w:tcW w:w="745" w:type="pct"/>
                      </w:tcPr>
                      <w:p w:rsidR="00C20985" w:rsidRDefault="00C2098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20985" w:rsidRPr="00C20985">
                    <w:trPr>
                      <w:jc w:val="right"/>
                    </w:trPr>
                    <w:tc>
                      <w:tcPr>
                        <w:tcW w:w="4255" w:type="pct"/>
                        <w:gridSpan w:val="2"/>
                      </w:tcPr>
                      <w:p w:rsidR="00C20985" w:rsidRDefault="00C2098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בסעיף 8 לחוק שכר חברי הכנסת, התש"ט-1949 2, בסופו, יבוא: "חבר הכנסת הממלא גם</w:t>
                        </w:r>
                      </w:p>
                      <w:p w:rsidR="00C20985" w:rsidRDefault="00C2098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ציבורי או מפלגתי, לא יראו העמדת רכב לרשותו לצורך אותו תפקיד וכן לצרכיו הפרטיים,</w:t>
                        </w:r>
                      </w:p>
                      <w:p w:rsidR="00C20985" w:rsidRDefault="00C2098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כצורה של משכורת, אם הדבר נעשה בהתאם להוראות סעיף 13א לחוק חסינות חברי הכנסת,</w:t>
                        </w:r>
                      </w:p>
                      <w:p w:rsidR="00C20985" w:rsidRPr="00C20985" w:rsidRDefault="00C2098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זכויותיהם וחובותיהם, התשי"א-1951."</w:t>
                        </w:r>
                      </w:p>
                    </w:tc>
                    <w:tc>
                      <w:tcPr>
                        <w:tcW w:w="745" w:type="pct"/>
                      </w:tcPr>
                      <w:p w:rsidR="00C20985" w:rsidRDefault="00C2098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C20985" w:rsidRDefault="00C2098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חברי</w:t>
                        </w:r>
                      </w:p>
                      <w:p w:rsidR="00C20985" w:rsidRPr="00C20985" w:rsidRDefault="00C2098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</w:t>
                        </w:r>
                      </w:p>
                    </w:tc>
                  </w:tr>
                  <w:tr w:rsidR="00C20985" w:rsidRPr="00C20985">
                    <w:trPr>
                      <w:jc w:val="right"/>
                    </w:trPr>
                    <w:tc>
                      <w:tcPr>
                        <w:tcW w:w="4255" w:type="pct"/>
                        <w:gridSpan w:val="2"/>
                      </w:tcPr>
                      <w:p w:rsidR="00C20985" w:rsidRDefault="00C2098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תחילתו של חוק זה, למעט סעיף 13א המובא בו, ביום תחילת כהונתה של הכנסת</w:t>
                        </w:r>
                      </w:p>
                      <w:p w:rsidR="00C20985" w:rsidRDefault="00C2098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השתים עשרה.</w:t>
                        </w:r>
                      </w:p>
                      <w:p w:rsidR="00C20985" w:rsidRPr="00C20985" w:rsidRDefault="00C2098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13א ביום א' באלול התשמ"ט (1 בספטמבר 1989).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C20985" w:rsidRPr="00C20985" w:rsidRDefault="00C2098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C20985" w:rsidRDefault="00C2098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C552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B75CF6B-69F3-4E2D-9059-08039530E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C552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4152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2098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17</Characters>
  <Application>Microsoft Office Word</Application>
  <DocSecurity>4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2008-04-07T03:05:00Z</dcterms:created>
  <dcterms:modified xsi:type="dcterms:W3CDTF">2008-04-07T03:05:00Z</dcterms:modified>
</cp:coreProperties>
</file>