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793F" w:rsidRDefault="005F793F">
      <w:pPr>
        <w:rPr>
          <w:rtl/>
        </w:rPr>
      </w:pPr>
    </w:p>
    <w:p w:rsidR="005F79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91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914" inset="0,0,0,0">
              <w:txbxContent>
                <w:p w:rsidR="00704B06" w:rsidRDefault="00704B06">
                  <w:r>
                    <w:rPr>
                      <w:rtl/>
                    </w:rPr>
                    <w:t>75                                          ספר החוקים 1248                   ל' בניסן התשמ"ח 17.04.1988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15" o:spid="_x0000_s1026" type="#_x0000_t202" style="position:absolute;left:0;text-align:left;margin-left:129.25pt;margin-top:638.85pt;width:435.4pt;height:49.1pt;z-index:3;mso-wrap-style:none;mso-position-horizontal-relative:page;mso-position-vertical-relative:page" stroked="f">
            <v:textbox style="mso-next-textbox:#_x0000_s37915" inset="0,0,0,0">
              <w:txbxContent>
                <w:tbl>
                  <w:tblPr>
                    <w:tblW w:w="46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16"/>
                  </w:tblGrid>
                  <w:tr w:rsidR="00704B06" w:rsidRPr="005F793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ד' בניסן התשמ"ח (22 במרס 1988); הצעת החוק ודברי הסבר פורסמו בה"ח 1876, התשמ"וו, עמ' 152.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התשל"ב, עמ' 58.</w:t>
                        </w:r>
                      </w:p>
                      <w:p w:rsidR="00704B06" w:rsidRPr="005F793F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התשל"ד, עמ' .3</w:t>
                        </w:r>
                      </w:p>
                    </w:tc>
                  </w:tr>
                </w:tbl>
                <w:p w:rsidR="00704B06" w:rsidRDefault="00704B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16" o:spid="_x0000_s1027" type="#_x0000_t202" style="position:absolute;left:0;text-align:left;margin-left:116.35pt;margin-top:95.5pt;width:449.05pt;height:535.2pt;z-index:2;mso-wrap-style:none;mso-position-horizontal-relative:page;mso-position-vertical-relative:page" stroked="f">
            <v:textbox style="mso-next-textbox:#_x0000_s37916" inset="0,0,0,0">
              <w:txbxContent>
                <w:tbl>
                  <w:tblPr>
                    <w:tblW w:w="47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7006"/>
                  </w:tblGrid>
                  <w:tr w:rsidR="00704B06" w:rsidRPr="005F793F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704B06" w:rsidRPr="005F793F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704B06" w:rsidRDefault="00704B0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"מילויה" - מילווה חובה לפי חוק מילווה בטחון, התשל"ב-1972 1 (להלן - חוק מילויה בטחון), או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חובה או מילווה מרצון לפי חוק מילווה מלחמה ומימון רכש, התשל"ד-21973 (להלן -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מילווה מלחמה), אשר מועד פרעונם המקורי הוא בשנת הכספים 1988;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הפרעון המקורי" -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מילווה לפי חוק מילווה בטחון - מועד הפרעון שנקבע לפי חוק מילווה בטחון;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מילווה לפי חוק מילווה מלחמה - מועד הפרעון שנקבע לפי חוק מילווה מלחמה;</w:t>
                        </w:r>
                      </w:p>
                      <w:p w:rsidR="00704B06" w:rsidRPr="005F793F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הפרעון של המילווה החדש" - היום שבו מסתיימת התקופה הקבועה בסעיף 2.</w:t>
                        </w:r>
                      </w:p>
                    </w:tc>
                  </w:tr>
                  <w:tr w:rsidR="00704B06" w:rsidRPr="005F793F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704B06" w:rsidRPr="005F793F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מילויה חדש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מי שזכאי לפרעון מילווה ונמנע מלדרוש את פרעונו עד תום 54 חדשים ממועד הפרעון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המקורי, יראוהו כמי שהמילווה נפרע לו והוא חזר והלווה את הסכומים הצפויים מפרעון תעודת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שבידו לרבות סכומי הריבית שנתווספו עליו (להלן - סכום המילווה החדש), לתקופה</w:t>
                        </w:r>
                      </w:p>
                      <w:p w:rsidR="00704B06" w:rsidRPr="005F793F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ויראו את תעודת המילווה שבידו כאילו ניתנה בשל המילווה החדש.</w:t>
                        </w:r>
                      </w:p>
                    </w:tc>
                  </w:tr>
                  <w:tr w:rsidR="00704B06" w:rsidRPr="005F793F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ופטור</w:t>
                        </w:r>
                      </w:p>
                      <w:p w:rsidR="00704B06" w:rsidRPr="005F793F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סכום המילווה החדש ישא ריבית דריבית שנתית בשיעור 3% לשנה החל במועד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 המקורי עד מועד הפרעון של המילווה החדש; הריבית תשולם במועד הפרעון של המילווה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החדש.</w:t>
                        </w:r>
                      </w:p>
                      <w:p w:rsidR="00704B06" w:rsidRPr="005F793F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</w:tr>
                  <w:tr w:rsidR="00704B06" w:rsidRPr="005F793F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צמוד</w:t>
                        </w:r>
                      </w:p>
                      <w:p w:rsidR="00704B06" w:rsidRPr="005F793F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סכום המילווה החדש והריבית עליו יהיו צמודים למדד המחירים לצרכן; התברר בעת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פרעונו של המילווה החדש כי המדד החדש עולה על המדד היסודי, ייפרעו קרן המילווה החדש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והריבית עליה כשהן מוגדלות בשיעור עליית המדד החדש לעומת המדד היסודי.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-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המחירים לצר כן" או "מדד" - מדד המחירים לצרכן (כולל פירות וירקות) שקבעה הלשכה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לסטטיסטיקה, אף אם יתפרסם על ידי כל מוסד ממשלתי אחר, לרבות כל מדד רשמי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שיבוא במקומו, בין שהוא בנוי על אותם נתונים שעליהם בנוי המדד הקיים ובין אם לאו;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יבוא מדד אחר במקום המדד הקיים, תקבע הלשכה המרכזית לסטטיסטיקה את היחס שבינו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המדד המוחלף;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היסודי" - המדד שפורסם ב-15 במאי 1988;</w:t>
                        </w:r>
                      </w:p>
                      <w:p w:rsidR="00704B06" w:rsidRPr="005F793F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החדש" - המדד שפורסם לאחרונה לפני מועד הפרעון של המילווה החדש.</w:t>
                        </w:r>
                      </w:p>
                    </w:tc>
                  </w:tr>
                  <w:tr w:rsidR="00704B06" w:rsidRPr="005F793F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704B06" w:rsidRPr="005F793F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המילווה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תעודות המילווה ימשיכו להיות בלתי סחירות ולא יהיו ניתנות לשעבוד או להעברה פרט</w:t>
                        </w:r>
                      </w:p>
                      <w:p w:rsidR="00704B06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להעברות מכוח הדין, אלא אם כן קבע שר האוצר בתקנות, באישור ועדת הכספים של הכנסת, כי</w:t>
                        </w:r>
                      </w:p>
                      <w:p w:rsidR="00704B06" w:rsidRPr="005F793F" w:rsidRDefault="00704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התעודות יהיו סחירות או ניתנות לשעבוד, ובתנאים שקבע.</w:t>
                        </w:r>
                      </w:p>
                    </w:tc>
                  </w:tr>
                </w:tbl>
                <w:p w:rsidR="00704B06" w:rsidRDefault="00704B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17" o:spid="_x0000_s1028" type="#_x0000_t202" style="position:absolute;left:0;text-align:left;margin-left:240.3pt;margin-top:61.65pt;width:269.5pt;height:31.5pt;z-index:1;mso-wrap-style:none;mso-position-horizontal-relative:page;mso-position-vertical-relative:page" stroked="f">
            <v:textbox style="mso-next-textbox:#_x0000_s37917" inset="0,0,0,0">
              <w:txbxContent>
                <w:tbl>
                  <w:tblPr>
                    <w:tblW w:w="28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901"/>
                  </w:tblGrid>
                  <w:tr w:rsidR="00704B06" w:rsidRPr="005F793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4B06" w:rsidRPr="005F793F" w:rsidRDefault="00704B0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המילווה (הארכה מרצון), התשמ"ח-1988*</w:t>
                        </w:r>
                      </w:p>
                    </w:tc>
                  </w:tr>
                </w:tbl>
                <w:p w:rsidR="00704B06" w:rsidRDefault="00704B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704B06" w:rsidRDefault="00704B06">
      <w:pPr>
        <w:rPr>
          <w:rtl/>
        </w:rPr>
      </w:pPr>
      <w:r>
        <w:rPr>
          <w:rtl/>
        </w:rPr>
        <w:br w:type="page"/>
      </w:r>
    </w:p>
    <w:p w:rsidR="00704B06" w:rsidRDefault="00000000">
      <w:pPr>
        <w:rPr>
          <w:rtl/>
        </w:rPr>
      </w:pPr>
      <w:r>
        <w:pict>
          <v:shape id="_x0000_s3791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918" inset="0,0,0,0">
              <w:txbxContent>
                <w:p w:rsidR="00704B06" w:rsidRDefault="00704B06">
                  <w:r>
                    <w:rPr>
                      <w:rtl/>
                    </w:rPr>
                    <w:t>76                                          ספר החוקים 1248                   ל' בניסן התשמ"ח 17.04.1988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19" o:spid="_x0000_s1030" type="#_x0000_t202" style="position:absolute;left:0;text-align:left;margin-left:356.4pt;margin-top:421.95pt;width:115.85pt;height:22.55pt;z-index:9;mso-wrap-style:none;mso-position-horizontal-relative:page;mso-position-vertical-relative:page" stroked="f">
            <v:textbox style="mso-next-textbox:#_x0000_s37919" inset="0,0,0,0">
              <w:txbxContent>
                <w:tbl>
                  <w:tblPr>
                    <w:tblW w:w="12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05"/>
                  </w:tblGrid>
                  <w:tr w:rsidR="00704B06" w:rsidRPr="00704B0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4B06" w:rsidRP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התשל"ח, עמ' 18.</w:t>
                        </w:r>
                      </w:p>
                    </w:tc>
                  </w:tr>
                </w:tbl>
                <w:p w:rsidR="00704B06" w:rsidRDefault="00704B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920" o:spid="_x0000_s1031" type="#_x0000_t202" style="position:absolute;left:0;text-align:left;margin-left:84.35pt;margin-top:332.65pt;width:115.85pt;height:55.45pt;z-index:8;mso-wrap-style:none;mso-position-horizontal-relative:page;mso-position-vertical-relative:page" stroked="f">
            <v:textbox style="mso-next-textbox:#_x0000_s37920" inset="0,0,0,0">
              <w:txbxContent>
                <w:tbl>
                  <w:tblPr>
                    <w:tblW w:w="12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05"/>
                  </w:tblGrid>
                  <w:tr w:rsidR="00704B0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גדעון פת</w:t>
                        </w:r>
                      </w:p>
                      <w:p w:rsid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המדע והפיתוח</w:t>
                        </w:r>
                      </w:p>
                      <w:p w:rsid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שר האוצר</w:t>
                        </w:r>
                      </w:p>
                    </w:tc>
                  </w:tr>
                </w:tbl>
                <w:p w:rsidR="00704B06" w:rsidRDefault="00704B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921" o:spid="_x0000_s1032" type="#_x0000_t202" style="position:absolute;left:0;text-align:left;margin-left:252.65pt;margin-top:332.65pt;width:98.2pt;height:44.15pt;z-index:7;mso-wrap-style:none;mso-position-horizontal-relative:page;mso-position-vertical-relative:page" stroked="f">
            <v:textbox style="mso-next-textbox:#_x0000_s37921" inset="0,0,0,0">
              <w:txbxContent>
                <w:tbl>
                  <w:tblPr>
                    <w:tblW w:w="10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86"/>
                  </w:tblGrid>
                  <w:tr w:rsidR="00704B0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704B06" w:rsidRDefault="00704B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922" o:spid="_x0000_s1033" type="#_x0000_t202" style="position:absolute;left:0;text-align:left;margin-left:385.3pt;margin-top:363.15pt;width:95.05pt;height:52.45pt;z-index:6;mso-wrap-style:none;mso-position-horizontal-relative:page;mso-position-vertical-relative:page" stroked="f">
            <v:textbox style="mso-next-textbox:#_x0000_s37922" inset="0,0,0,0">
              <w:txbxContent>
                <w:tbl>
                  <w:tblPr>
                    <w:tblW w:w="10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28"/>
                  </w:tblGrid>
                  <w:tr w:rsidR="00704B0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704B06" w:rsidRDefault="00704B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923" o:spid="_x0000_s1034" type="#_x0000_t202" style="position:absolute;left:0;text-align:left;margin-left:80.4pt;margin-top:64.55pt;width:465.1pt;height:256.8pt;z-index:5;mso-wrap-style:none;mso-position-horizontal-relative:page;mso-position-vertical-relative:page" stroked="f">
            <v:textbox style="mso-next-textbox:#_x0000_s37923" inset="0,0,0,0">
              <w:txbxContent>
                <w:tbl>
                  <w:tblPr>
                    <w:tblW w:w="49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6"/>
                    <w:gridCol w:w="1321"/>
                  </w:tblGrid>
                  <w:tr w:rsidR="00704B06" w:rsidRPr="00704B06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מי שנמנע לדרוש פרעוני של מילווה במועד הפרעון המקורי ודרש את פרעוני לפני מועד</w:t>
                        </w:r>
                      </w:p>
                      <w:p w:rsid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 של המילווה החדש, יחולו על הפרעון הוראות סעיף 1 לחוק המילוות (הוראות שונות),</w:t>
                        </w:r>
                      </w:p>
                      <w:p w:rsidR="00704B06" w:rsidRP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התשל"ח-31977.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לפני</w:t>
                        </w:r>
                      </w:p>
                      <w:p w:rsidR="00704B06" w:rsidRP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המועד החדש</w:t>
                        </w:r>
                      </w:p>
                    </w:tc>
                  </w:tr>
                  <w:tr w:rsidR="00704B06" w:rsidRPr="00704B06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704B06" w:rsidRP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נפטר יחיד, ייעשה הפרעון לבן זוגו, ואם לא השאיר בן זוג - ליורשיו האחרים.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704B06" w:rsidRP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ליורשים</w:t>
                        </w:r>
                      </w:p>
                    </w:tc>
                  </w:tr>
                  <w:tr w:rsidR="00704B06" w:rsidRPr="00704B06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704B06" w:rsidRP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חוק זה לא יחול על מי שמילווה נפרע לו לפני תחילתו של חוק זה.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704B06" w:rsidRP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לתחולה</w:t>
                        </w:r>
                      </w:p>
                    </w:tc>
                  </w:tr>
                  <w:tr w:rsidR="00704B06" w:rsidRPr="00704B06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בתוספת הראשונה לחוק המילוות (הוראות שונות), התשל"ח-1977, אחרי "חוק המילווה</w:t>
                        </w:r>
                      </w:p>
                      <w:p w:rsidR="00704B06" w:rsidRP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(תוספת יוקר), התשל"ה-1975" יבוא "חוק המילוות (הארכה מרצון), התשמ"ח-1988".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המילוות (הוראות</w:t>
                        </w:r>
                      </w:p>
                      <w:p w:rsidR="00704B06" w:rsidRP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שונות)</w:t>
                        </w:r>
                      </w:p>
                    </w:tc>
                  </w:tr>
                  <w:tr w:rsidR="00704B06" w:rsidRPr="00704B06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הוראות סעיף 1 לחוק המילוות (הוראות שונות), התשל"ח-1977, יחולו על מילווה חדש</w:t>
                        </w:r>
                      </w:p>
                      <w:p w:rsidR="00704B06" w:rsidRP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חדש</w:t>
                        </w:r>
                      </w:p>
                      <w:p w:rsid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נפרע</w:t>
                        </w:r>
                      </w:p>
                      <w:p w:rsidR="00704B06" w:rsidRP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במועד</w:t>
                        </w:r>
                      </w:p>
                    </w:tc>
                  </w:tr>
                  <w:tr w:rsidR="00704B06" w:rsidRPr="00704B06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704B06" w:rsidRP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שר האוצר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704B06" w:rsidRP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704B06" w:rsidRPr="00704B06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704B06" w:rsidRP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תחילתו של חוק זה ביום קבלתו בכנסת.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704B06" w:rsidRP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704B06" w:rsidRPr="00704B06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704B06" w:rsidRPr="00704B06" w:rsidRDefault="00704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חוק זה יפורסם ברשומות תוך שלושים ימים מיום קבלתו.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704B06" w:rsidRPr="00704B06" w:rsidRDefault="00704B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704B06" w:rsidRDefault="00704B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F79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7A0872-02AD-4BEC-8D89-DEF6709D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F793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04B0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2008-04-07T02:59:00Z</dcterms:created>
  <dcterms:modified xsi:type="dcterms:W3CDTF">2008-04-07T03:00:00Z</dcterms:modified>
</cp:coreProperties>
</file>