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3CA7" w:rsidRDefault="00893CA7">
      <w:pPr>
        <w:rPr>
          <w:rtl/>
        </w:rPr>
      </w:pPr>
    </w:p>
    <w:p w:rsidR="00893C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051" inset="0,0,0,0">
              <w:txbxContent>
                <w:p w:rsidR="00BE4B92" w:rsidRDefault="00BE4B92">
                  <w:r>
                    <w:rPr>
                      <w:rtl/>
                    </w:rPr>
                    <w:t>40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52" o:spid="_x0000_s1026" type="#_x0000_t202" style="position:absolute;left:0;text-align:left;margin-left:78.8pt;margin-top:676.2pt;width:389.65pt;height:76.45pt;z-index:3;mso-wrap-style:none;mso-position-horizontal-relative:page;mso-position-vertical-relative:page" stroked="f">
            <v:textbox style="mso-next-textbox:#_x0000_s38052" inset="0,0,0,0">
              <w:txbxContent>
                <w:p w:rsidR="00BE4B92" w:rsidRDefault="00BE4B9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ב' התשמ"ט (3 באפריל 1989): הגעת החוק ודברי הסבר פורסמו בהצעות חוק 1890,</w:t>
                  </w:r>
                </w:p>
                <w:p w:rsidR="00BE4B92" w:rsidRDefault="00BE4B92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מיום י"ט בתמוז התשמ"ח (4 ביולי 1989), עמ' 230.</w:t>
                  </w:r>
                </w:p>
                <w:p w:rsidR="00BE4B92" w:rsidRPr="00893CA7" w:rsidRDefault="00BE4B92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ס"ח התשי"ח,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53" o:spid="_x0000_s1027" type="#_x0000_t202" style="position:absolute;left:0;text-align:left;margin-left:77.8pt;margin-top:550.05pt;width:471.65pt;height:123.35pt;z-index:2;mso-wrap-style:none;mso-position-horizontal-relative:page;mso-position-vertical-relative:page" stroked="f">
            <v:textbox style="mso-next-textbox:#_x0000_s38053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286"/>
                    <w:gridCol w:w="1461"/>
                  </w:tblGrid>
                  <w:tr w:rsidR="00BE4B92" w:rsidRPr="00893CA7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BE4B92" w:rsidRDefault="00BE4B9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במקום סעיף 21 לחוק הפיקוח על מצרכים ושירותים, התשי"ח-1957 1 (להלן - החוק</w:t>
                        </w:r>
                      </w:p>
                      <w:p w:rsidR="00BE4B92" w:rsidRPr="00893CA7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E4B92" w:rsidRPr="00893CA7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!2</w:t>
                        </w:r>
                      </w:p>
                    </w:tc>
                  </w:tr>
                  <w:tr w:rsidR="00BE4B92">
                    <w:trPr>
                      <w:jc w:val="right"/>
                    </w:trPr>
                    <w:tc>
                      <w:tcPr>
                        <w:tcW w:w="3398" w:type="pct"/>
                      </w:tcPr>
                      <w:p w:rsidR="00BE4B92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אדם המציע, המציג או המוכר במהלך עסק מצרך לצרכן, יציג על</w:t>
                        </w:r>
                      </w:p>
                      <w:p w:rsidR="00BE4B92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 המצרך או על גבי אריזתו את מחיר המצרך.</w:t>
                        </w:r>
                      </w:p>
                      <w:p w:rsidR="00BE4B92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מצרך המוצג לראווה, בין בחלון</w:t>
                        </w:r>
                      </w:p>
                      <w:p w:rsidR="00BE4B92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ראווה ובין שלא בחלון ראווה, באופן הנותן יסוד להניח שהמצרך או מצרך</w:t>
                        </w:r>
                      </w:p>
                      <w:p w:rsidR="00BE4B92" w:rsidRPr="00893CA7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דומה לו מוצע למכירה.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E4B92" w:rsidRPr="00893CA7" w:rsidRDefault="00BE4B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מחיר</w:t>
                        </w:r>
                      </w:p>
                    </w:tc>
                    <w:tc>
                      <w:tcPr>
                        <w:tcW w:w="852" w:type="pct"/>
                      </w:tcPr>
                      <w:p w:rsidR="00BE4B92" w:rsidRDefault="00BE4B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E4B92" w:rsidRDefault="00BE4B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54" o:spid="_x0000_s1028" type="#_x0000_t202" style="position:absolute;left:0;text-align:left;margin-left:108.5pt;margin-top:526.7pt;width:345.5pt;height:20.8pt;z-index:1;mso-wrap-style:none;mso-position-horizontal-relative:page;mso-position-vertical-relative:page" stroked="f">
            <v:textbox style="mso-next-textbox:#_x0000_s38054" inset="0,0,0,0">
              <w:txbxContent>
                <w:p w:rsidR="00BE4B92" w:rsidRPr="00893CA7" w:rsidRDefault="00BE4B92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מצרכים ושירותים (תיקון מס' 16), התשמ"ט-1989*</w:t>
                  </w:r>
                </w:p>
              </w:txbxContent>
            </v:textbox>
            <w10:wrap anchorx="page" anchory="page"/>
          </v:shape>
        </w:pict>
      </w:r>
    </w:p>
    <w:p w:rsidR="00750506" w:rsidRDefault="00750506">
      <w:pPr>
        <w:rPr>
          <w:rtl/>
        </w:rPr>
      </w:pPr>
      <w:r>
        <w:rPr>
          <w:rtl/>
        </w:rPr>
        <w:br w:type="page"/>
      </w:r>
    </w:p>
    <w:p w:rsidR="00750506" w:rsidRDefault="00000000">
      <w:pPr>
        <w:rPr>
          <w:rtl/>
        </w:rPr>
      </w:pPr>
      <w:r>
        <w:pict>
          <v:shape id="_x0000_s380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055" inset="0,0,0,0">
              <w:txbxContent>
                <w:p w:rsidR="00BE4B92" w:rsidRDefault="00BE4B92">
                  <w:r>
                    <w:rPr>
                      <w:rtl/>
                    </w:rPr>
                    <w:t>41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56" o:spid="_x0000_s1030" type="#_x0000_t202" style="position:absolute;left:0;text-align:left;margin-left:387.7pt;margin-top:718.4pt;width:180pt;height:33.25pt;z-index:6;mso-wrap-style:none;mso-position-horizontal-relative:page;mso-position-vertical-relative:page" stroked="f">
            <v:textbox style="mso-next-textbox:#_x0000_s38056" inset="0,0,0,0">
              <w:txbxContent>
                <w:p w:rsidR="00BE4B92" w:rsidRDefault="00BE4B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057" o:spid="_x0000_s1031" type="#_x0000_t202" style="position:absolute;left:0;text-align:left;margin-left:101.4pt;margin-top:56.85pt;width:460.95pt;height:653.4pt;z-index:5;mso-wrap-style:none;mso-position-horizontal-relative:page;mso-position-vertical-relative:page" stroked="f">
            <v:textbox style="mso-next-textbox:#_x0000_s38057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1"/>
                    <w:gridCol w:w="7121"/>
                  </w:tblGrid>
                  <w:tr w:rsidR="00BE4B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8" w:type="pct"/>
                      </w:tcPr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הצגת המחיר על גבי המצרך תהיה במקום הנראה לעין,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בספרות ברורות, קריאות ובאופן המאפשר לכל אדם לדעת את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המצרך?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כאמור בסעיף קטן (א) יהיה המחיר הכולל שבו יימכר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המצרך, כשכלולים בו כל מס, אגרה או תשלום חובה אחר החלים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המכירה;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(2), רשאי המוכר, במשך שבעה ימים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שהוגדל או הופחת שיעורו של מס ערך מוסף, שלא לכלול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 שהוצג את שיעור ההגדלה או ההפחתה, בתנאי שציין באופן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בולט במקום העסק כי המחירים אינם כוללים את השיעור המוגדל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המופחת.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מחיר מצרך שהוצג כאמור בסעיף קטן (א), יהיה נקוב במטבע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בלבד, זולת אם התיר השר כצו כללי או לענין מסויים, לנקוב את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גם במטבע אחר; הודעה על מתן הצו תימסר לועדת הכלכלה של הכנסת.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רשאי בצו - באישור ועדת הכלכלה של הכנסת -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סוגי מצרכים לגביהם ניתן להציג את המחיר באופן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מהאמור בסעיף קטן (א), וכללים בדבר אופן הצגתם;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לכלל המצרכים או לסוגיהם, הכל כפי שייקבע בצו,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חלופיות להצגת מחיר על גבי המצרך ובלבד שיתקיימו גם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אלה: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לכל אותו סוג של מצרך ייקבע שטח מכירה מוגדר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ותחום, והצגת המחיר תהיה בתוך תחום שטח המכירה של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מצרך.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הקונה יקבל בזמן התשלום בקופת העסק, חשבון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 בין השאר את שם המצרך והמחיר ליחידה אחת של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מצרך.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סוגי מצרכים לגביהם תהיה חובה להציג בנוסף למחיר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הכולל, גם את המחיר ליחידת מידה, משקל או נפח של המצרך לפי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השיטה המטרית, הכל כפי שיקבע בצו.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כי חובת הצגת המחיר לפי סעיף זה תחול על מצרך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המוצע, המוצג או הנמכר במהלך עסק, גם למי שאינו צרכן.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16 ב(ד) עד (ח) לחוק העיקרי יחולו גם על צו לפי סעיף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BE4B92" w:rsidRPr="00750506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E4B92" w:rsidRPr="00750506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21א לחוק העיקרי -</w:t>
                        </w:r>
                      </w:p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"בסעיף 21(ג)" יבוא "בסעיף 21(ג)(2)":</w:t>
                        </w:r>
                      </w:p>
                      <w:p w:rsidR="00BE4B92" w:rsidRPr="00750506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 "זולת אם קבע שר אחרת בצו".</w:t>
                        </w:r>
                      </w:p>
                    </w:tc>
                  </w:tr>
                  <w:tr w:rsidR="00BE4B92" w:rsidRPr="00750506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BE4B92" w:rsidRPr="00750506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BE4B92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תחילתו של חוק זה ביום שועדת הכלכלה של הכנסת תאשר צווים שיציע שר</w:t>
                        </w:r>
                      </w:p>
                      <w:p w:rsidR="00BE4B92" w:rsidRPr="00750506" w:rsidRDefault="00BE4B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והמסחר לפי סעיף 21(ה10) ו-(2); הודעה על כך תפורסם ברשומות.</w:t>
                        </w:r>
                      </w:p>
                    </w:tc>
                  </w:tr>
                </w:tbl>
                <w:p w:rsidR="00BE4B92" w:rsidRDefault="00BE4B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E4B92" w:rsidRDefault="00BE4B92">
      <w:pPr>
        <w:rPr>
          <w:rtl/>
        </w:rPr>
      </w:pPr>
      <w:r>
        <w:rPr>
          <w:rtl/>
        </w:rPr>
        <w:br w:type="page"/>
      </w:r>
    </w:p>
    <w:p w:rsidR="00BE4B92" w:rsidRDefault="00000000">
      <w:pPr>
        <w:rPr>
          <w:rtl/>
        </w:rPr>
      </w:pPr>
      <w:r>
        <w:pict>
          <v:shape id="_x0000_s3805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8058" inset="0,0,0,0">
              <w:txbxContent>
                <w:p w:rsidR="00BE4B92" w:rsidRDefault="00BE4B92">
                  <w:r>
                    <w:rPr>
                      <w:rtl/>
                    </w:rPr>
                    <w:t>42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59" o:spid="_x0000_s1033" type="#_x0000_t202" style="position:absolute;left:0;text-align:left;margin-left:94.35pt;margin-top:129.5pt;width:107.1pt;height:35.05pt;z-index:11;mso-wrap-style:none;mso-position-horizontal-relative:page;mso-position-vertical-relative:page" stroked="f">
            <v:textbox style="mso-next-textbox:#_x0000_s38059" inset="0,0,0,0">
              <w:txbxContent>
                <w:p w:rsidR="00BE4B92" w:rsidRDefault="00BE4B92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BE4B92" w:rsidRDefault="00BE4B92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0" o:spid="_x0000_s1034" type="#_x0000_t202" style="position:absolute;left:0;text-align:left;margin-left:229.4pt;margin-top:127.75pt;width:93.65pt;height:32.45pt;z-index:10;mso-wrap-style:none;mso-position-horizontal-relative:page;mso-position-vertical-relative:page" stroked="f">
            <v:textbox style="mso-next-textbox:#_x0000_s38060" inset="0,0,0,0">
              <w:txbxContent>
                <w:p w:rsidR="00BE4B92" w:rsidRDefault="00BE4B92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E4B92" w:rsidRDefault="00BE4B92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1" o:spid="_x0000_s1035" type="#_x0000_t202" style="position:absolute;left:0;text-align:left;margin-left:361.65pt;margin-top:152.1pt;width:87.3pt;height:35.05pt;z-index:9;mso-wrap-style:none;mso-position-horizontal-relative:page;mso-position-vertical-relative:page" stroked="f">
            <v:textbox style="mso-next-textbox:#_x0000_s38061" inset="0,0,0,0">
              <w:txbxContent>
                <w:p w:rsidR="00BE4B92" w:rsidRDefault="00BE4B92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E4B92" w:rsidRDefault="00BE4B92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2" o:spid="_x0000_s1036" type="#_x0000_t202" style="position:absolute;left:0;text-align:left;margin-left:75.55pt;margin-top:75.45pt;width:424.7pt;height:52.05pt;z-index:8;mso-wrap-style:none;mso-position-horizontal-relative:page;mso-position-vertical-relative:page" stroked="f">
            <v:textbox style="mso-next-textbox:#_x0000_s38062" inset="0,0,0,0">
              <w:txbxContent>
                <w:p w:rsidR="00BE4B92" w:rsidRDefault="00BE4B92">
                  <w:pPr>
                    <w:pStyle w:val="OCRStyle3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(ב) צווים כאמור בסעיף קטן (א) יכנסו לתוקף 4 חודשים מיום פרסומם.</w:t>
                  </w:r>
                </w:p>
                <w:p w:rsidR="00BE4B92" w:rsidRDefault="00BE4B92">
                  <w:pPr>
                    <w:pStyle w:val="OCRStyle3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(ג) סעיף 21 כנוסחו ערב תחילתו של חוק זה יעמוד בתוקפו עד כניסתם לתוקף של צווים</w:t>
                  </w:r>
                </w:p>
                <w:p w:rsidR="00BE4B92" w:rsidRDefault="00BE4B92">
                  <w:pPr>
                    <w:pStyle w:val="OCRStyle3"/>
                    <w:ind w:left="695"/>
                  </w:pPr>
                  <w:r>
                    <w:rPr>
                      <w:rtl/>
                    </w:rPr>
                    <w:t>לפי סעיף 21(ה)(1)(2).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3C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93AC6B-FAD2-4483-9A3A-B9C8CB8E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3CA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505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E4B9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2008-04-07T03:20:00Z</dcterms:created>
  <dcterms:modified xsi:type="dcterms:W3CDTF">2008-04-07T03:21:00Z</dcterms:modified>
</cp:coreProperties>
</file>