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5949" w:rsidRDefault="00775949">
      <w:pPr>
        <w:rPr>
          <w:rtl/>
        </w:rPr>
      </w:pPr>
    </w:p>
    <w:p w:rsidR="007759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151" inset="0,0,0,0">
              <w:txbxContent>
                <w:p w:rsidR="00CF7760" w:rsidRDefault="00CF7760">
                  <w:r>
                    <w:rPr>
                      <w:rtl/>
                    </w:rPr>
                    <w:t>104                                         ספר החוקים 1285                  י"ג באלול התשמ"ט 13.09.1989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52" o:spid="_x0000_s1026" type="#_x0000_t202" style="position:absolute;left:0;text-align:left;margin-left:81.5pt;margin-top:688.45pt;width:400.15pt;height:72.65pt;z-index:3;mso-wrap-style:none;mso-position-horizontal-relative:page;mso-position-vertical-relative:page" stroked="f">
            <v:textbox style="mso-next-textbox:#_x0000_s38152" inset="0,0,0,0">
              <w:txbxContent>
                <w:p w:rsidR="00CF7760" w:rsidRDefault="00CF776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ד- באלול התשמ"ט (4 בספטמבר 1989 ): הצעת החוק ודברי הסבר פורסמו בהצעות חוק 1893, מיום</w:t>
                  </w:r>
                </w:p>
                <w:p w:rsidR="00CF7760" w:rsidRDefault="00CF7760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כ"א בתמוז התשמ"ח (6 ביולי 1988), עמ' 253.</w:t>
                  </w:r>
                </w:p>
                <w:p w:rsidR="00CF7760" w:rsidRPr="00775949" w:rsidRDefault="00CF7760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1 ס"ח התשמ"ב, עמ' 218: התשמ"ג, עמ' 4: התשמ"ד, עמ' 167: התשמ"ו, עמ' 100 ועמ' 224: התשמ"ח,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53" o:spid="_x0000_s1027" type="#_x0000_t202" style="position:absolute;left:0;text-align:left;margin-left:77.35pt;margin-top:110.85pt;width:481.95pt;height:573.4pt;z-index:2;mso-wrap-style:none;mso-position-horizontal-relative:page;mso-position-vertical-relative:page" stroked="f">
            <v:textbox style="mso-next-textbox:#_x0000_s38153" inset="0,0,0,0">
              <w:txbxContent>
                <w:tbl>
                  <w:tblPr>
                    <w:tblW w:w="51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454"/>
                  </w:tblGrid>
                  <w:tr w:rsidR="00CF7760" w:rsidRPr="00775949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F7760" w:rsidRDefault="00CF776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4א(ד) לחוק הבזק, התשמ"ב-982  1(להלן - החוק העיקרי), במקום "או להוסיף</w:t>
                        </w:r>
                      </w:p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ברשיון" יבוא "או להוסיף באישור".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4א</w:t>
                        </w:r>
                      </w:p>
                    </w:tc>
                  </w:tr>
                  <w:tr w:rsidR="00CF7760" w:rsidRPr="00775949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6א לחוק העיקרי -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"אמצעי שליטה", בפסקה (2), בסופה יבוא: "או מנהל כללי":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"ציוד מישק" יבוא: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""ציוד מישק" - מפענח, ממיר אפיקים או כל התקן אחר, המותקן בחצרי המנוי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והמיועד לשמש לקליטת שידורים בחצריו, ובשידורי טלויזיה באמצעות לווין -</w:t>
                        </w:r>
                      </w:p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אנטנה".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6א</w:t>
                        </w:r>
                      </w:p>
                    </w:tc>
                  </w:tr>
                  <w:tr w:rsidR="00CF7760" w:rsidRPr="00775949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6ה(1)(ג) לחוק העיקרי, במקום "מקוריות" יבוא "מקוריות-מקומיות".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6ה</w:t>
                        </w:r>
                      </w:p>
                    </w:tc>
                  </w:tr>
                  <w:tr w:rsidR="00CF7760" w:rsidRPr="00775949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6ז(א) לחוק העיקרי, אחרי "לא יקים" יבוא "ולא יקיים".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תיקיי סע * 6ז</w:t>
                        </w:r>
                      </w:p>
                    </w:tc>
                  </w:tr>
                  <w:tr w:rsidR="00CF7760" w:rsidRPr="00775949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6כג לחוק העיקרי -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בסימן זה, למעט לענין סעיף קטן (ב), "שידורי טלויזיה באמצעות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לווין" - שידורי טלויזיה הניתנים לציבור, המשודרים בצופן באמצעות לווין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והמיועדים לקליטה מפוענחת בידי מנוי":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(כ), (ג) ו-(ד) יסומנו (ה), (ו) ו-(ז), כסדרם, ולפניהם יבוא: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בלי לגרוע מהוראות כל דין -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יתקין, לא יפעיל, ולא יקיים אזרח ישראלי או תושב ישראל,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כישראל או מחוצה לה, שידורי טלויזיה באמצעות לווין הנקלטים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והמיועדים בעיקרם לציבור בישראל או לחלק ממנו, אלא אם כן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זכיון מאת השר לפי חוק זה או היתר לפי כל דין-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יסייע אזרח ישראלי או תושב ישראל, במישרין או בעקיפין,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להתקנתם, להפעלתם או לקיומם של שידורים כאמור בפסקה (1):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קטן זה -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אין נפקא מינה אם שידורי טלויזיה באמצעות לווין כאמור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משודרים בצופן או בכל דרך אחרת, מתחנת שידור בארץ או מחוצה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או אם קליטתם ממוענת למנוי;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"אזרח ישראלי" או "תושב ישראל" - לרבות אזרח או תושב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בעשרים וחמישה אחוזים לפחות מאמצעי שליטה בתאגיד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המפעיל או מקיים שידורים כאמור: לענין זה, "מחזיק" - במישרין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לרבות באמצעות תאגיד אחר או באמצעות תאגידים</w:t>
                        </w:r>
                      </w:p>
                      <w:p w:rsidR="00CF7760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אחדים;</w:t>
                        </w:r>
                      </w:p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"סיוע" - כמשמעותו בסעיף 6לז(ח).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F7760" w:rsidRPr="00775949" w:rsidRDefault="00CF7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6כג</w:t>
                        </w:r>
                      </w:p>
                    </w:tc>
                  </w:tr>
                </w:tbl>
                <w:p w:rsidR="00CF7760" w:rsidRDefault="00CF77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54" o:spid="_x0000_s1028" type="#_x0000_t202" style="position:absolute;left:0;text-align:left;margin-left:170.6pt;margin-top:78.8pt;width:226.1pt;height:32.1pt;z-index:1;mso-wrap-style:none;mso-position-horizontal-relative:page;mso-position-vertical-relative:page" stroked="f">
            <v:textbox style="mso-next-textbox:#_x0000_s38154" inset="0,0,0,0">
              <w:txbxContent>
                <w:p w:rsidR="00CF7760" w:rsidRPr="00775949" w:rsidRDefault="00CF7760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(תיקון מס' 6), התשמ"ט-1989*</w:t>
                  </w:r>
                </w:p>
              </w:txbxContent>
            </v:textbox>
            <w10:wrap anchorx="page" anchory="page"/>
          </v:shape>
        </w:pict>
      </w:r>
    </w:p>
    <w:p w:rsidR="00FC119D" w:rsidRDefault="00FC119D">
      <w:pPr>
        <w:rPr>
          <w:rtl/>
        </w:rPr>
      </w:pPr>
      <w:r>
        <w:rPr>
          <w:rtl/>
        </w:rPr>
        <w:br w:type="page"/>
      </w:r>
    </w:p>
    <w:p w:rsidR="00FC119D" w:rsidRDefault="00000000">
      <w:pPr>
        <w:rPr>
          <w:rtl/>
        </w:rPr>
      </w:pPr>
      <w:r>
        <w:pict>
          <v:shape id="_x0000_s3815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155" inset="0,0,0,0">
              <w:txbxContent>
                <w:p w:rsidR="00CF7760" w:rsidRDefault="00CF7760">
                  <w:r>
                    <w:rPr>
                      <w:rtl/>
                    </w:rPr>
                    <w:t>105                                         ספר החוקים 1285                  י"ג באלול התשמ"ט 13.09.1989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56" o:spid="_x0000_s1030" type="#_x0000_t202" style="position:absolute;left:0;text-align:left;margin-left:374.9pt;margin-top:696.3pt;width:179pt;height:58.6pt;z-index:9;mso-wrap-style:none;mso-position-horizontal-relative:page;mso-position-vertical-relative:page" stroked="f">
            <v:textbox style="mso-next-textbox:#_x0000_s38156" inset="0,0,0,0">
              <w:txbxContent>
                <w:p w:rsidR="00CF7760" w:rsidRDefault="00CF7760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2 ס"ח התשל"ב, עמ' 176; התשמ"ג, עמ' 21.</w:t>
                  </w:r>
                </w:p>
                <w:p w:rsidR="00CF7760" w:rsidRPr="00FC119D" w:rsidRDefault="00CF7760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3 ס"ח התשי"ד, עמ' 190; התשי"ז, עמ' .140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57" o:spid="_x0000_s1031" type="#_x0000_t202" style="position:absolute;left:0;text-align:left;margin-left:185pt;margin-top:494.35pt;width:89.9pt;height:32.85pt;z-index:8;mso-wrap-style:none;mso-position-horizontal-relative:page;mso-position-vertical-relative:page" stroked="f">
            <v:textbox style="mso-next-textbox:#_x0000_s38157" inset="0,0,0,0">
              <w:txbxContent>
                <w:p w:rsidR="00CF7760" w:rsidRDefault="00CF7760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CF7760" w:rsidRDefault="00CF7760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58" o:spid="_x0000_s1032" type="#_x0000_t202" style="position:absolute;left:0;text-align:left;margin-left:318.65pt;margin-top:496.75pt;width:84.95pt;height:32.25pt;z-index:7;mso-wrap-style:none;mso-position-horizontal-relative:page;mso-position-vertical-relative:page" stroked="f">
            <v:textbox style="mso-next-textbox:#_x0000_s38158" inset="0,0,0,0">
              <w:txbxContent>
                <w:p w:rsidR="00CF7760" w:rsidRDefault="00CF7760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F7760" w:rsidRDefault="00CF7760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59" o:spid="_x0000_s1033" type="#_x0000_t202" style="position:absolute;left:0;text-align:left;margin-left:446.6pt;margin-top:520.7pt;width:79.2pt;height:40.4pt;z-index:6;mso-wrap-style:none;mso-position-horizontal-relative:page;mso-position-vertical-relative:page" stroked="f">
            <v:textbox style="mso-next-textbox:#_x0000_s38159" inset="0,0,0,0">
              <w:txbxContent>
                <w:p w:rsidR="00CF7760" w:rsidRDefault="00CF7760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F7760" w:rsidRDefault="00CF7760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60" o:spid="_x0000_s1034" type="#_x0000_t202" style="position:absolute;left:0;text-align:left;margin-left:78.7pt;margin-top:68.65pt;width:479.35pt;height:419.75pt;z-index:5;mso-wrap-style:none;mso-position-horizontal-relative:page;mso-position-vertical-relative:page" stroked="f">
            <v:textbox style="mso-next-textbox:#_x0000_s38160" inset="0,0,0,0">
              <w:txbxContent>
                <w:tbl>
                  <w:tblPr>
                    <w:tblW w:w="51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2"/>
                    <w:gridCol w:w="6009"/>
                    <w:gridCol w:w="1055"/>
                  </w:tblGrid>
                  <w:tr w:rsidR="00CF7760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שידורים אסורים כאמור בסעיף קטן (ב), שיש בהם שימוש בשפה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העברית, בין בדיבור ובין בכתב, או שידורים כאמור הכוללים תשדירי פרסומת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למוצרים או לשירותים המשווקים בעיקרם בישראל, חזקה שהם מיועדים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בעיקר לציבור בישראל.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קטנים (כ) ו-(ג) לא יחולו על שידורים הניתנים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ומיועדים, מעצם טיבם, לקליטה ישירה של הציבור מהאויר, לפי כל דין:.</w:t>
                        </w:r>
                      </w:p>
                    </w:tc>
                    <w:tc>
                      <w:tcPr>
                        <w:tcW w:w="605" w:type="pct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F7760" w:rsidRPr="00FC119D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6כט</w:t>
                        </w:r>
                      </w:p>
                    </w:tc>
                    <w:tc>
                      <w:tcPr>
                        <w:tcW w:w="4052" w:type="pct"/>
                        <w:gridSpan w:val="2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6כט לחוק העיקרי -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יבוא: "אם המחזיק במקרקעין הפרטיים הוא חוכר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לדורות כמשמעותו בחוק המקרקעין (להלן בסעיף זה - חוכר) או דייר מוגן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הגנת הדייר (נוסח משולב), התשל"ב-21972 (להלן בסעיף זה -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דייר), יראו הסכמתו של החוכר או הדייר בהסכמתו של בעל המקרקעין":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יבוא: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הוחזרה החזקה מידי חוכר או דייר לבעל המקרקעין, יהיה בעל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רשאי לדרוש מבעל הזכיון הסרת רשת הכבלים מהם והחזרתם, ככל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האפשר, למצב שהיו בו אלמלא נעשה שימוש בהסכמה כאמור, וכל ההוצאות</w:t>
                        </w:r>
                      </w:p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להסרת רשת הכבלים יחולו על בעל הזכיון".</w:t>
                        </w:r>
                      </w:p>
                    </w:tc>
                  </w:tr>
                  <w:tr w:rsidR="00CF7760" w:rsidRPr="00FC119D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6לז</w:t>
                        </w:r>
                      </w:p>
                    </w:tc>
                    <w:tc>
                      <w:tcPr>
                        <w:tcW w:w="4052" w:type="pct"/>
                        <w:gridSpan w:val="2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6לז(ח) לחוק העיקרי, אחרי פסקה (9) יבוא:</w:t>
                        </w:r>
                      </w:p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הרשאה לשימוש בחצרים לשידורי תחנת שידור אסורה".</w:t>
                        </w:r>
                      </w:p>
                    </w:tc>
                  </w:tr>
                  <w:tr w:rsidR="00CF7760" w:rsidRPr="00FC119D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6מא</w:t>
                        </w:r>
                      </w:p>
                    </w:tc>
                    <w:tc>
                      <w:tcPr>
                        <w:tcW w:w="4052" w:type="pct"/>
                        <w:gridSpan w:val="2"/>
                      </w:tcPr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6מ לחוק העיקרי יבוא:</w:t>
                        </w:r>
                      </w:p>
                    </w:tc>
                  </w:tr>
                  <w:tr w:rsidR="00CF7760" w:rsidRPr="00FC119D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6מא. סעיף 6(א) לחוק החשמל, התשי"ד-31954, לא יחול על רשת כבלים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שמתחה אינו עולה על 65 וולט".</w:t>
                        </w:r>
                      </w:p>
                    </w:tc>
                    <w:tc>
                      <w:tcPr>
                        <w:tcW w:w="605" w:type="pct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תחולת</w:t>
                        </w:r>
                      </w:p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בחוק</w:t>
                        </w:r>
                      </w:p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</w:t>
                        </w:r>
                      </w:p>
                    </w:tc>
                  </w:tr>
                  <w:tr w:rsidR="00CF7760" w:rsidRPr="00FC119D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052" w:type="pct"/>
                        <w:gridSpan w:val="2"/>
                      </w:tcPr>
                      <w:p w:rsidR="00CF7760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סיוע כאמור בפסקאות (1) עד (3) ו-(6) עד (8) של סעיף 6לז(ח) לחוק העיקרי יהווה עבירה</w:t>
                        </w:r>
                      </w:p>
                      <w:p w:rsidR="00CF7760" w:rsidRPr="00FC119D" w:rsidRDefault="00CF77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6כג(ב) רק עד תום חמש שנים מיום פרסומו של חוק זה.</w:t>
                        </w:r>
                      </w:p>
                    </w:tc>
                  </w:tr>
                </w:tbl>
                <w:p w:rsidR="00CF7760" w:rsidRDefault="00CF77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F7760" w:rsidRDefault="00CF7760">
      <w:pPr>
        <w:rPr>
          <w:rtl/>
        </w:rPr>
      </w:pPr>
      <w:r>
        <w:rPr>
          <w:rtl/>
        </w:rPr>
        <w:br w:type="page"/>
      </w:r>
    </w:p>
    <w:p w:rsidR="00CF7760" w:rsidRDefault="00000000">
      <w:pPr>
        <w:rPr>
          <w:rtl/>
        </w:rPr>
      </w:pPr>
      <w:r>
        <w:pict>
          <v:shape id="_x0000_s38161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8161" inset="0,0,0,0">
              <w:txbxContent>
                <w:p w:rsidR="00CF7760" w:rsidRDefault="00CF7760">
                  <w:r>
                    <w:rPr>
                      <w:rtl/>
                    </w:rPr>
                    <w:t>106                                         ספר החוקים 1285                  י"ג באלול התשמ"ט 13.09.1989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62" o:spid="_x0000_s1036" type="#_x0000_t202" style="position:absolute;left:0;text-align:left;margin-left:91pt;margin-top:721.6pt;width:182.35pt;height:28.7pt;z-index:11;mso-wrap-style:none;mso-position-horizontal-relative:page;mso-position-vertical-relative:page" stroked="f">
            <v:textbox style="mso-next-textbox:#_x0000_s38162" inset="0,0,0,0">
              <w:txbxContent>
                <w:p w:rsidR="00CF7760" w:rsidRDefault="00CF776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59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2A406A-B1F8-41C1-A49A-5F45BC77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594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C119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F77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2008-04-07T03:26:00Z</dcterms:created>
  <dcterms:modified xsi:type="dcterms:W3CDTF">2008-04-07T03:26:00Z</dcterms:modified>
</cp:coreProperties>
</file>