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5213" w:rsidRDefault="00E65213">
      <w:pPr>
        <w:rPr>
          <w:rtl/>
        </w:rPr>
      </w:pPr>
    </w:p>
    <w:p w:rsidR="00E652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63" inset="0,0,0,0">
              <w:txbxContent>
                <w:p w:rsidR="00E41141" w:rsidRDefault="00E41141">
                  <w:r>
                    <w:rPr>
                      <w:rtl/>
                    </w:rPr>
                    <w:t>94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4" o:spid="_x0000_s1026" type="#_x0000_t202" style="position:absolute;left:0;text-align:left;margin-left:78.8pt;margin-top:664.2pt;width:383.9pt;height:67.9pt;z-index:3;mso-position-horizontal-relative:page;mso-position-vertical-relative:page" stroked="f">
            <v:textbox style="mso-next-textbox:#_x0000_s38164" inset="0,0,0,0">
              <w:txbxContent>
                <w:p w:rsidR="00E41141" w:rsidRDefault="00E4114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התשנ"א (12 בפברואר 1991); הצעת החוק ודברי הסבר פורסמו בהצעות חוק 1899 מיום</w:t>
                  </w:r>
                </w:p>
                <w:p w:rsidR="00E41141" w:rsidRDefault="00E4114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ר באב התשמ"ח (20 ביולי 1988), עמ' 271.</w:t>
                  </w:r>
                </w:p>
                <w:p w:rsidR="00E41141" w:rsidRPr="00E65213" w:rsidRDefault="00E4114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התשי"ח, עמ' 108; התשכ"ה, עמ' 126; התשל"ב, עמ' 118; התשל"ז,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5" o:spid="_x0000_s1027" type="#_x0000_t202" style="position:absolute;left:0;text-align:left;margin-left:78pt;margin-top:86.45pt;width:466.5pt;height:570.05pt;z-index:2;mso-position-horizontal-relative:page;mso-position-vertical-relative:page" stroked="f">
            <v:textbox style="mso-next-textbox:#_x0000_s381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303"/>
                  </w:tblGrid>
                  <w:tr w:rsidR="00E41141" w:rsidRPr="00E6521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E41141" w:rsidRDefault="00E4114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2 לחוק המהנדסים והאדריכלים, התשי"ח-1958 1 (להלן - החוק העיקרי),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בכפוף להוראות סעיף קטן (ג), לא ישא אדם את התואר מהנדס או אדריכל או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תואר הדומה להם עד כדי להטעות, ולא יתחזה אדם כמהנדס או כאדריכל אלא אם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הוא רשום בפנקס המהנדסים והאדריכלים, או שהוא זכאי להירשם בפנקס האמור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9(א)(1) או (2).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הנדסאי או טכנאי מוסמך, הממלא כעובד, תפקיד שכינויו כולל תואר כאמור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יהא רשאי להשתמש בכינוי התפקיד כאמור, אולם אם השתמש בו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יציין ליד שמו או ליד כינוי התפקיד את המלים "הנדסאי" או "טכנאי מוסמך"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הענין: לענין פסקה זו, "הנדסאי" או "טכנאי מוסמך" - מי שהרשות להסמכת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הנדסאים וטכנאים המורכבת מנציגי משרד העבודה והרווחה, משרד החיוך והתרבות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וארגון העובדים המייצג את רוב ההנדסאים והטכנאים המוסמכים, הכירה בו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כהנדסאי או כטכנאי מוסמך והוא רשום בפנקס ההנדסאים והטכנאים המוסמכים</w:t>
                        </w:r>
                      </w:p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במשרד העבודה והרווחה."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41141" w:rsidRPr="00E6521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שני נציגי הטכניון מכון טכנולוגי לישראל, נציג אחד של אוניברסיטת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 ונציג אחד של אוניברסיטת בן גוריון בנגב."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(4) יבוא: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תשעה מהנדסים ואדריכלים שימנה השר על פי המלצת לשכת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המהנדסים, האדריכלים והאקדמאים במקצועות הטכנולוגיים בישראל, ובלבד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לדעת השר חדלה הלשכה האמורה לייצג את המספר הגדול ביותר של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בפנקס המהנדסים והאדריכלים, על פי המלצת ארגון המייצג בעיקר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 ואדריכלים, שלדעת השר נמנה עם חבריו המספר הגדול ביותר של</w:t>
                        </w:r>
                      </w:p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 ואדריכלים הרשומים בפנקס האמור."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E41141" w:rsidRPr="00E6521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9(א) לחוק העיקרי, פסקה (5) - תימחק.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41141" w:rsidRPr="00E6521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 לחוק העיקרי, סעיף קטן (ג) יסומן (ד) ולפניו יבוא: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השר, באישור ועדת העבודה והרווחה של הכנסת, רשאי לקבוע בתקנות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 הרשיון כאמור בסעיף קטן (א) ובכלל זה הוכחת כשירותו ונסיונו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של מבקש הרשיון? הוכחה כאמור יכול שתיעשה בדרך של בחינות או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שביצע, בין בתקופת הרישום כאמור בסעיף קטן (ב) ובין לאחריה, או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שילוב שלהם או בכל דרך אחרת, הכל כפי שיקבע.</w:t>
                        </w:r>
                      </w:p>
                      <w:p w:rsidR="00E41141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לפי פסקה (1) יכול שיחולו על כלל המהנדסים והאדריכלים, על</w:t>
                        </w:r>
                      </w:p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מהם או על ענף מענפי ההנדסה או האדריכלות."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41141" w:rsidRPr="00E65213" w:rsidRDefault="00E41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E41141" w:rsidRDefault="00E411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66" o:spid="_x0000_s1028" type="#_x0000_t202" style="position:absolute;left:0;text-align:left;margin-left:118.4pt;margin-top:61.5pt;width:315pt;height:24.75pt;z-index:1;mso-position-horizontal-relative:page;mso-position-vertical-relative:page" stroked="f">
            <v:textbox style="mso-next-textbox:#_x0000_s38166" inset="0,0,0,0">
              <w:txbxContent>
                <w:p w:rsidR="00E41141" w:rsidRDefault="00E41141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E41141" w:rsidRPr="00E65213" w:rsidRDefault="00E41141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המהנדסים והאדריכלים (תיקון מס' 4), התשנ"א-1991 *</w:t>
                  </w:r>
                </w:p>
              </w:txbxContent>
            </v:textbox>
            <w10:wrap anchorx="page" anchory="page"/>
          </v:shape>
        </w:pict>
      </w:r>
    </w:p>
    <w:p w:rsidR="006F2757" w:rsidRDefault="006F2757">
      <w:pPr>
        <w:rPr>
          <w:rtl/>
        </w:rPr>
      </w:pPr>
      <w:r>
        <w:rPr>
          <w:rtl/>
        </w:rPr>
        <w:br w:type="page"/>
      </w:r>
    </w:p>
    <w:p w:rsidR="006F2757" w:rsidRDefault="00000000">
      <w:pPr>
        <w:rPr>
          <w:rtl/>
        </w:rPr>
      </w:pPr>
      <w:r>
        <w:pict>
          <v:shape id="_x0000_s3816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167" inset="0,0,0,0">
              <w:txbxContent>
                <w:p w:rsidR="00E41141" w:rsidRDefault="00E41141">
                  <w:r>
                    <w:rPr>
                      <w:rtl/>
                    </w:rPr>
                    <w:t>95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8" o:spid="_x0000_s1030" type="#_x0000_t202" style="position:absolute;left:0;text-align:left;margin-left:383.65pt;margin-top:712.85pt;width:176.4pt;height:30.1pt;z-index:6;mso-position-horizontal-relative:page;mso-position-vertical-relative:page" stroked="f">
            <v:textbox style="mso-next-textbox:#_x0000_s38168" inset="0,0,0,0">
              <w:txbxContent>
                <w:p w:rsidR="00E41141" w:rsidRDefault="00E411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169" o:spid="_x0000_s1031" type="#_x0000_t202" style="position:absolute;left:0;text-align:left;margin-left:86.65pt;margin-top:61.2pt;width:476pt;height:641.3pt;z-index:5;mso-position-horizontal-relative:page;mso-position-vertical-relative:page" stroked="f">
            <v:textbox style="mso-next-textbox:#_x0000_s381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5754"/>
                    <w:gridCol w:w="1288"/>
                  </w:tblGrid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11 לחוק העיקרי יבוא: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השר, באישור ועדת העבודה והרווחה של הכנסת, רשאי לקבוע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אגרה בעד בחינה כאמור בסעיף 11 (ג), ורשאי הוא לקבוע סוגים של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 או אדריכלים שיהיו פטורים מתשלומה."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"אגרה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14 לחוק העיקרי יבוא: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העובר על סעיפים 2, 11(ד) או 12, דינו - מאסר ששה חדשים;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13, דינו - קנס."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 לחוק העיקרי -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"ועדה" יבוא "ועדת אתיקה";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"ועדה" יבוא "ועדת אתיקה";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השר, לאחי התייעצות עם שר המשפטים, רשאי לקבוע כתקנות סדרי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בדיון לפני ועדת אתיקה, לרבות קביעת מועדים לדיוניה ולמתן החלטותיה;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אתיקה רשאית לקבוע לעצמה את סדרי הדין בפניה ככל שלא נקבעו</w:t>
                        </w:r>
                      </w:p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כאמור."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 לחוק העיקרי, בכל מקום, במקום "המועצה" יבוא "ועדת האתיקה".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18 לחוק העיקרי -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"לועדה" יבוא "לועדת אתיקה" ובמקום "הועדה" יבוא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האתיקה";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בחקירה שסעיף זה חל עליה יהיו סמכויות ועדת האתיקה לפי סעיפים 17</w:t>
                        </w:r>
                      </w:p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 בידי ועדת אתיקה בהרכב כאמור בסעיף קטן (א)."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19 לחוק העיקרי, במקום "המועצה" יבוא "ועדת אתיקה".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20 לחוק העיקרי, במקום "החליטה המועצה, לפי סעיף 17 או ועדה לפי סעיף 18"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"החליטה ועדת אתיקה", ובמקום "על פי המלצת המועצה שנתקבלה" יבוא "על פי המלצת</w:t>
                        </w:r>
                      </w:p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אתיקה שנתמנתה לענין זה על-ידי המועצה ושנתקבלה".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068" w:type="pct"/>
                        <w:gridSpan w:val="2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20 לחוק העיקרי יבוא:</w:t>
                        </w:r>
                      </w:p>
                    </w:tc>
                  </w:tr>
                  <w:tr w:rsidR="00E41141" w:rsidRPr="006F2757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החלטה של ועדת האתיקה כאמור בסעיפים 17, 18 ו-19, למעט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על התראה או נזיפה, ניתנת לערעור לפני בית משפט מחוזי, לא יאוחר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השלושים לאחר שניתנה ההחלטה אם ניתנה בפני המערער, או לאחר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 לו העתק ממנה אם ניתנה שלא בפניו.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להחליט על עיכוב ביצוע החלטה של ועדת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אתיקה על פי בקשת המערער.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בבואו להכריע בערעור רשאי בית המשפט לעשות אחת מאלה: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או לדחות את הערעור כולו או מקצתו, לשנות את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של ועדת האתיקה או לבטלה ולתת אחרת במקומה, או</w:t>
                        </w:r>
                      </w:p>
                      <w:p w:rsidR="00E41141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את ההחלטה עם הוראות לדיון חוזר בועדת האתיקה;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41141" w:rsidRPr="006F2757" w:rsidRDefault="00E41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</w:tbl>
                <w:p w:rsidR="00E41141" w:rsidRDefault="00E411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41141" w:rsidRDefault="00E41141">
      <w:pPr>
        <w:rPr>
          <w:rtl/>
        </w:rPr>
      </w:pPr>
      <w:r>
        <w:rPr>
          <w:rtl/>
        </w:rPr>
        <w:br w:type="page"/>
      </w:r>
    </w:p>
    <w:p w:rsidR="00E41141" w:rsidRDefault="00000000">
      <w:pPr>
        <w:rPr>
          <w:rtl/>
        </w:rPr>
      </w:pPr>
      <w:r>
        <w:pict>
          <v:shape id="_x0000_s3817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170" inset="0,0,0,0">
              <w:txbxContent>
                <w:p w:rsidR="00E41141" w:rsidRDefault="00E41141">
                  <w:r>
                    <w:rPr>
                      <w:rtl/>
                    </w:rPr>
                    <w:t>96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1" o:spid="_x0000_s1033" type="#_x0000_t202" style="position:absolute;left:0;text-align:left;margin-left:177.8pt;margin-top:177.1pt;width:86.15pt;height:30.9pt;z-index:12;mso-position-horizontal-relative:page;mso-position-vertical-relative:page" stroked="f">
            <v:textbox style="mso-next-textbox:#_x0000_s38171" inset="0,0,0,0">
              <w:txbxContent>
                <w:p w:rsidR="00E41141" w:rsidRDefault="00E41141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41141" w:rsidRDefault="00E41141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2" o:spid="_x0000_s1034" type="#_x0000_t202" style="position:absolute;left:0;text-align:left;margin-left:368.9pt;margin-top:174.55pt;width:78.4pt;height:32.65pt;z-index:11;mso-position-horizontal-relative:page;mso-position-vertical-relative:page" stroked="f">
            <v:textbox style="mso-next-textbox:#_x0000_s38172" inset="0,0,0,0">
              <w:txbxContent>
                <w:p w:rsidR="00E41141" w:rsidRDefault="00E41141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41141" w:rsidRDefault="00E41141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3" o:spid="_x0000_s1035" type="#_x0000_t202" style="position:absolute;left:0;text-align:left;margin-left:76.25pt;margin-top:150.35pt;width:99.8pt;height:24.15pt;z-index:10;mso-position-horizontal-relative:page;mso-position-vertical-relative:page" stroked="f">
            <v:textbox style="mso-next-textbox:#_x0000_s38173" inset="0,0,0,0">
              <w:txbxContent>
                <w:p w:rsidR="00E41141" w:rsidRDefault="00E41141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1141" w:rsidRDefault="00E41141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4" o:spid="_x0000_s1036" type="#_x0000_t202" style="position:absolute;left:0;text-align:left;margin-left:280.2pt;margin-top:144.45pt;width:68.9pt;height:33.45pt;z-index:9;mso-position-horizontal-relative:page;mso-position-vertical-relative:page" stroked="f">
            <v:textbox style="mso-next-textbox:#_x0000_s38174" inset="0,0,0,0">
              <w:txbxContent>
                <w:p w:rsidR="00E41141" w:rsidRDefault="00E41141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1141" w:rsidRDefault="00E41141">
                  <w:pPr>
                    <w:pStyle w:val="OCRStyle3"/>
                    <w:ind w:left="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5" o:spid="_x0000_s1037" type="#_x0000_t202" style="position:absolute;left:0;text-align:left;margin-left:75.25pt;margin-top:59.1pt;width:457.2pt;height:83.55pt;z-index:8;mso-position-horizontal-relative:page;mso-position-vertical-relative:page" stroked="f">
            <v:textbox style="mso-next-textbox:#_x0000_s381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124"/>
                  </w:tblGrid>
                  <w:tr w:rsidR="00E41141" w:rsidRPr="00E41141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E41141" w:rsidRDefault="00E41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כל החלטה שועדת האתיקה היתה מוסמכת לתיתה.</w:t>
                        </w:r>
                      </w:p>
                      <w:p w:rsidR="00E41141" w:rsidRDefault="00E41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רשאי, לאחר התייעצות עם השר, לקבוע בתקנות את</w:t>
                        </w:r>
                      </w:p>
                      <w:p w:rsidR="00E41141" w:rsidRDefault="00E41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בערעור וכן בבקשה לעיכוב ביצוע החלטה של ועדת אתיקה."</w:t>
                        </w:r>
                      </w:p>
                      <w:p w:rsidR="00E41141" w:rsidRDefault="00E41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בתום שלושה חדשים מיום פרסומו.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E41141" w:rsidRPr="00E41141" w:rsidRDefault="00E41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41141" w:rsidRDefault="00E411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52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AD17FB-9F26-4CE4-8B3C-890F0313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52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F275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411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2008-04-07T12:41:00Z</dcterms:created>
  <dcterms:modified xsi:type="dcterms:W3CDTF">2008-04-07T12:41:00Z</dcterms:modified>
</cp:coreProperties>
</file>