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7E44" w:rsidRDefault="00B37E44">
      <w:pPr>
        <w:rPr>
          <w:rtl/>
        </w:rPr>
      </w:pPr>
    </w:p>
    <w:p w:rsidR="00B37E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2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218" inset="0,0,0,0">
              <w:txbxContent>
                <w:p w:rsidR="00563467" w:rsidRDefault="00563467">
                  <w:r>
                    <w:rPr>
                      <w:rtl/>
                    </w:rPr>
                    <w:t>77                                          ספר החוקים 1282                  כ"ח בתמוז התשמ"ט 31.07.1989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19" o:spid="_x0000_s1026" type="#_x0000_t202" style="position:absolute;left:0;text-align:left;margin-left:152.15pt;margin-top:676.85pt;width:408.65pt;height:80pt;z-index:3;mso-wrap-style:none;mso-position-horizontal-relative:page;mso-position-vertical-relative:page" stroked="f">
            <v:textbox style="mso-next-textbox:#_x0000_s38219" inset="0,0,0,0">
              <w:txbxContent>
                <w:p w:rsidR="00563467" w:rsidRDefault="00563467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</w:t>
                  </w:r>
                  <w:r>
                    <w:rPr>
                      <w:rtl/>
                    </w:rPr>
                    <w:tab/>
                    <w:t xml:space="preserve"> נתקבל בכנסת ביום כ"א בתמוז התשמ"ט (24 ביולי 1989); הצעת החוק ודברי הסבר פורסמו בהצעות חוק 1903, מיום</w:t>
                  </w:r>
                </w:p>
                <w:p w:rsidR="00563467" w:rsidRDefault="00563467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י"א באב התשמ"ח (25 ביולי 1988), עמ' 291.</w:t>
                  </w:r>
                </w:p>
                <w:p w:rsidR="00563467" w:rsidRDefault="00563467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י ס"ח התשל"ז, עמ' 182.</w:t>
                  </w:r>
                </w:p>
                <w:p w:rsidR="00563467" w:rsidRPr="00B37E44" w:rsidRDefault="00563467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2 ס"ח התשכ"ה,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20" o:spid="_x0000_s1027" type="#_x0000_t202" style="position:absolute;left:0;text-align:left;margin-left:85.6pt;margin-top:321.25pt;width:470.65pt;height:355.4pt;z-index:2;mso-wrap-style:none;mso-position-horizontal-relative:page;mso-position-vertical-relative:page" stroked="f">
            <v:textbox style="mso-next-textbox:#_x0000_s38220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8"/>
                    <w:gridCol w:w="7025"/>
                  </w:tblGrid>
                  <w:tr w:rsidR="00563467" w:rsidRPr="00B37E44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563467" w:rsidRPr="00B37E44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21" w:type="pct"/>
                      </w:tcPr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"שדה תעופה" ו"שדה התעופה אילת" - כמשמעותם בחוק רשות שדות התעופה, התשל"ז-1977 1:</w:t>
                        </w:r>
                      </w:p>
                      <w:p w:rsidR="00563467" w:rsidRPr="00B37E44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"שדה התעופה החדש" - שדה התעופה שיוקם בעין עברונה.</w:t>
                        </w:r>
                      </w:p>
                    </w:tc>
                  </w:tr>
                  <w:tr w:rsidR="00563467" w:rsidRPr="00B37E44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563467" w:rsidRPr="00B37E44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</w:tc>
                    <w:tc>
                      <w:tcPr>
                        <w:tcW w:w="4121" w:type="pct"/>
                      </w:tcPr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עד היום שבו יאשר שר התחבורה את שדה התעופה החדש (להלן - יום האישור), יחולו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שדה התעופה אילת יוסיף לשמש כשדה תעופה: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בשדה התעופה אילת לא יינתנו היתרים לפי חוק התכנון והבניה, התשכ"ה-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21965 (להלן - חוק התכנון) ולא ייעשה שימוש בו אלא למטרות המתיישבות עם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פעילותו כשדה תעופה: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האמור בפסקה (2) לא יינתן היתר להארכת המסלולים בשדה התעופה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אילת אלא באישור המועצה הארצית לתכנון ובניה ובהתאם לתנאים שקבעה;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196א ופרק ט' לחוק התכנון, לא יחולו לגבי שדה התעופה אילת: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בכל השטחים הנכללים בתכניות, שאינם כלולים בשדה התעופה אילת, לא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שימוש ולא יינתנו היתרים לפי חוק התכנון, אלא בהתאם למגבלות הנוגעות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לבטיחות הטיסה ובהתייעצות עם שר התחבורה;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לעניין זה, "התכניות" - "שינוי מס' 23 לתכנית מיתאר מקומית מס' 101/02/2 אילת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מזרח", שהודעה על הפקדתו פורסמה בילקוט הפרסומים 3479, התשמ'יז, עמ' 2400,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ו"שינוי מס' 22 לתכנית מפורטת מס' 2 114/03 מרכז עירוני ראשי לאילת",</w:t>
                        </w:r>
                      </w:p>
                      <w:p w:rsidR="00563467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שהודעה על הפקדתו פורסמה בילקוט הפרסומים 3504, התשמ"ח, עמ' 374, וכל</w:t>
                        </w:r>
                      </w:p>
                      <w:p w:rsidR="00563467" w:rsidRPr="00B37E44" w:rsidRDefault="005634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בהם או כל תכנית שתבוא במקומם או תשנה אותם.</w:t>
                        </w:r>
                      </w:p>
                    </w:tc>
                  </w:tr>
                </w:tbl>
                <w:p w:rsidR="00563467" w:rsidRDefault="005634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221" o:spid="_x0000_s1028" type="#_x0000_t202" style="position:absolute;left:0;text-align:left;margin-left:183.6pt;margin-top:298.9pt;width:332.05pt;height:19.8pt;z-index:1;mso-wrap-style:none;mso-position-horizontal-relative:page;mso-position-vertical-relative:page" stroked="f">
            <v:textbox style="mso-next-textbox:#_x0000_s38221" inset="0,0,0,0">
              <w:txbxContent>
                <w:p w:rsidR="00563467" w:rsidRPr="00B37E44" w:rsidRDefault="00563467">
                  <w:pPr>
                    <w:pStyle w:val="OCRStyle1"/>
                    <w:ind w:left="10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שדה התעופה אילת (הוראות מיוחדות), התשמ"ט--1989*</w:t>
                  </w:r>
                </w:p>
              </w:txbxContent>
            </v:textbox>
            <w10:wrap anchorx="page" anchory="page"/>
          </v:shape>
        </w:pict>
      </w:r>
    </w:p>
    <w:p w:rsidR="00563467" w:rsidRDefault="00563467">
      <w:pPr>
        <w:rPr>
          <w:rtl/>
        </w:rPr>
      </w:pPr>
      <w:r>
        <w:rPr>
          <w:rtl/>
        </w:rPr>
        <w:br w:type="page"/>
      </w:r>
    </w:p>
    <w:p w:rsidR="00563467" w:rsidRDefault="00000000">
      <w:pPr>
        <w:rPr>
          <w:rtl/>
        </w:rPr>
      </w:pPr>
      <w:r>
        <w:pict>
          <v:shape id="_x0000_s3822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222" inset="0,0,0,0">
              <w:txbxContent>
                <w:p w:rsidR="00563467" w:rsidRDefault="00563467">
                  <w:r>
                    <w:rPr>
                      <w:rtl/>
                    </w:rPr>
                    <w:t>78                                          ספר החוקים 1282                  כ"ח בתמוז התשמ"ט 31.07.1989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23" o:spid="_x0000_s1030" type="#_x0000_t202" style="position:absolute;left:0;text-align:left;margin-left:98.45pt;margin-top:706.55pt;width:173.65pt;height:49.5pt;z-index:9;mso-wrap-style:none;mso-position-horizontal-relative:page;mso-position-vertical-relative:page" stroked="f">
            <v:textbox style="mso-next-textbox:#_x0000_s38223" inset="0,0,0,0">
              <w:txbxContent>
                <w:p w:rsidR="00563467" w:rsidRDefault="0056346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224" o:spid="_x0000_s1031" type="#_x0000_t202" style="position:absolute;left:0;text-align:left;margin-left:106.55pt;margin-top:266.4pt;width:102.55pt;height:36.85pt;z-index:8;mso-wrap-style:none;mso-position-horizontal-relative:page;mso-position-vertical-relative:page" stroked="f">
            <v:textbox style="mso-next-textbox:#_x0000_s38224" inset="0,0,0,0">
              <w:txbxContent>
                <w:p w:rsidR="00563467" w:rsidRDefault="00563467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563467" w:rsidRDefault="00563467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25" o:spid="_x0000_s1032" type="#_x0000_t202" style="position:absolute;left:0;text-align:left;margin-left:238.05pt;margin-top:264.65pt;width:113.25pt;height:42.15pt;z-index:7;mso-wrap-style:none;mso-position-horizontal-relative:page;mso-position-vertical-relative:page" stroked="f">
            <v:textbox style="mso-next-textbox:#_x0000_s38225" inset="0,0,0,0">
              <w:txbxContent>
                <w:p w:rsidR="00563467" w:rsidRDefault="00563467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63467" w:rsidRDefault="00563467">
                  <w:pPr>
                    <w:pStyle w:val="OCRStyle2"/>
                    <w:ind w:left="5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26" o:spid="_x0000_s1033" type="#_x0000_t202" style="position:absolute;left:0;text-align:left;margin-left:364.95pt;margin-top:293.35pt;width:111.45pt;height:48.7pt;z-index:6;mso-wrap-style:none;mso-position-horizontal-relative:page;mso-position-vertical-relative:page" stroked="f">
            <v:textbox style="mso-next-textbox:#_x0000_s38226" inset="0,0,0,0">
              <w:txbxContent>
                <w:p w:rsidR="00563467" w:rsidRDefault="00563467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63467" w:rsidRDefault="00563467">
                  <w:pPr>
                    <w:pStyle w:val="OCRStyle2"/>
                    <w:ind w:left="5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27" o:spid="_x0000_s1034" type="#_x0000_t202" style="position:absolute;left:0;text-align:left;margin-left:97.65pt;margin-top:85.45pt;width:460.75pt;height:169.3pt;z-index:5;mso-wrap-style:none;mso-position-horizontal-relative:page;mso-position-vertical-relative:page" stroked="f">
            <v:textbox style="mso-next-textbox:#_x0000_s38227" inset="0,0,0,0">
              <w:txbxContent>
                <w:tbl>
                  <w:tblPr>
                    <w:tblW w:w="49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6"/>
                    <w:gridCol w:w="1310"/>
                  </w:tblGrid>
                  <w:tr w:rsidR="00563467" w:rsidRPr="00563467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63467" w:rsidRDefault="005634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לענין אישור התכניות יחולו הוראות סעיף 109(ב) לחוק התכנון, כאילו היו התכניות</w:t>
                        </w:r>
                      </w:p>
                      <w:p w:rsidR="00563467" w:rsidRDefault="005634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ששר הפנים החליט כי היא טעונה אישורו.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63467" w:rsidRPr="00563467" w:rsidRDefault="005634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התכניות</w:t>
                        </w:r>
                      </w:p>
                    </w:tc>
                  </w:tr>
                  <w:tr w:rsidR="00563467" w:rsidRPr="00563467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63467" w:rsidRPr="00563467" w:rsidRDefault="005634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הוראות חוק זה יחולו על אף האמור בתכניות כאמור בסעיף 2(5) או בכל דין אחר.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63467" w:rsidRPr="00563467" w:rsidRDefault="005634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עדיפות</w:t>
                        </w:r>
                      </w:p>
                    </w:tc>
                  </w:tr>
                  <w:tr w:rsidR="00563467" w:rsidRPr="00563467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63467" w:rsidRDefault="005634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שדה התעופה אילת יחדל לשמש שדה תעופה כמועד שקבע שר התחבורה בצו, שלא יהיה</w:t>
                        </w:r>
                      </w:p>
                      <w:p w:rsidR="00563467" w:rsidRPr="00563467" w:rsidRDefault="005634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מאוחר מ-60 ימים מיום האישור.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63467" w:rsidRDefault="005634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שדה</w:t>
                        </w:r>
                      </w:p>
                      <w:p w:rsidR="00563467" w:rsidRPr="00563467" w:rsidRDefault="005634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התעופה אילת</w:t>
                        </w:r>
                      </w:p>
                    </w:tc>
                  </w:tr>
                  <w:tr w:rsidR="00563467" w:rsidRPr="00563467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63467" w:rsidRDefault="005634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התחבורה ממונה על ביצוע חוק זה והוא רשאי באישור ועדת הכלכלה של הכנסת,</w:t>
                        </w:r>
                      </w:p>
                      <w:p w:rsidR="00563467" w:rsidRPr="00563467" w:rsidRDefault="005634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ענין הנוגע לביצועו.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63467" w:rsidRPr="00563467" w:rsidRDefault="005634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563467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63467" w:rsidRDefault="005634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תחילתו של חוק זה 15 ימים מיום פרסומו ותוקפו עד המועד שקבע שר התחבורה לפי</w:t>
                        </w:r>
                      </w:p>
                      <w:p w:rsidR="00563467" w:rsidRPr="00563467" w:rsidRDefault="005634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.5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63467" w:rsidRDefault="005634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ותוקף</w:t>
                        </w:r>
                      </w:p>
                    </w:tc>
                  </w:tr>
                </w:tbl>
                <w:p w:rsidR="00563467" w:rsidRDefault="0056346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37E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E85981-02E3-4448-9788-A0850CFF4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37E4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6346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2008-04-07T03:23:00Z</dcterms:created>
  <dcterms:modified xsi:type="dcterms:W3CDTF">2008-04-07T03:23:00Z</dcterms:modified>
</cp:coreProperties>
</file>