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A477E" w:rsidRDefault="00DA477E">
      <w:pPr>
        <w:rPr>
          <w:rtl/>
        </w:rPr>
      </w:pPr>
    </w:p>
    <w:p w:rsidR="00DA477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47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8476" inset="0,0,0,0">
              <w:txbxContent>
                <w:p w:rsidR="00F033D6" w:rsidRDefault="00F033D6">
                  <w:r>
                    <w:rPr>
                      <w:rtl/>
                    </w:rPr>
                    <w:t>16                                          ספר החוקים 1292                  ט"ו בכסליו התש"נ 13.12.1989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77" o:spid="_x0000_s1026" type="#_x0000_t202" style="position:absolute;left:0;text-align:left;margin-left:91.85pt;margin-top:677.85pt;width:390.65pt;height:65.75pt;z-index:3;mso-wrap-style:none;mso-position-horizontal-relative:page;mso-position-vertical-relative:page" stroked="f">
            <v:textbox style="mso-next-textbox:#_x0000_s38477" inset="0,0,0,0">
              <w:txbxContent>
                <w:p w:rsidR="00F033D6" w:rsidRDefault="00F033D6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בכסלו התש"ן (4 בדצמבר 1989): הצעת החוק ודברי הסבר פורסמו בהצעות חוק 1953, מיום י"ב</w:t>
                  </w:r>
                </w:p>
                <w:p w:rsidR="00F033D6" w:rsidRDefault="00F033D6">
                  <w:pPr>
                    <w:pStyle w:val="OCRStyle1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בתשרי התש"ן (11 באוקטובר 1989).</w:t>
                  </w:r>
                </w:p>
                <w:p w:rsidR="00F033D6" w:rsidRPr="00DA477E" w:rsidRDefault="00F033D6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1 דיני מדינת ישראל, נוסח חדש 12, עמ' 284: התש"ל, עמ' 16: התשל"ג, עמ' 146: התשל"ד, עמ' 70: התש"ם, עמ' 116.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78" o:spid="_x0000_s1027" type="#_x0000_t202" style="position:absolute;left:0;text-align:left;margin-left:88.7pt;margin-top:113.15pt;width:465.7pt;height:561.75pt;z-index:2;mso-wrap-style:none;mso-position-horizontal-relative:page;mso-position-vertical-relative:page" stroked="f">
            <v:textbox style="mso-next-textbox:#_x0000_s38478" inset="0,0,0,0">
              <w:txbxContent>
                <w:tbl>
                  <w:tblPr>
                    <w:tblW w:w="496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43"/>
                    <w:gridCol w:w="921"/>
                    <w:gridCol w:w="1404"/>
                  </w:tblGrid>
                  <w:tr w:rsidR="00F033D6" w:rsidRPr="00DA477E">
                    <w:trPr>
                      <w:jc w:val="right"/>
                    </w:trPr>
                    <w:tc>
                      <w:tcPr>
                        <w:tcW w:w="4171" w:type="pct"/>
                        <w:gridSpan w:val="2"/>
                      </w:tcPr>
                      <w:p w:rsidR="00F033D6" w:rsidRDefault="00F033D6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11 לפקודת סדר הדין הפלילי (מעצר וחיפוש) [נוסח חדש], התשמ"ב-1982  1 (להלן</w:t>
                        </w:r>
                      </w:p>
                      <w:p w:rsidR="00F033D6" w:rsidRDefault="00F03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הפקודה) -</w:t>
                        </w:r>
                      </w:p>
                      <w:p w:rsidR="00F033D6" w:rsidRDefault="00F03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בסופו יבוא: "הורה הקצין הממונה על מתן ערבון כספי, יופקד</w:t>
                        </w:r>
                      </w:p>
                      <w:p w:rsidR="00F033D6" w:rsidRDefault="00F03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הערבון בקופת בית משפט השלום או בחשבון בנק שהנהלת בתי המשפט תקבע</w:t>
                        </w:r>
                      </w:p>
                      <w:p w:rsidR="00F033D6" w:rsidRDefault="00F03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לכך."-</w:t>
                        </w:r>
                      </w:p>
                      <w:p w:rsidR="00F033D6" w:rsidRDefault="00F03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F033D6" w:rsidRDefault="00F03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ערובה לפי סימן זה, היא על תנאי שהחשוד יתייצב לחקירה במשטרה</w:t>
                        </w:r>
                      </w:p>
                      <w:p w:rsidR="00F033D6" w:rsidRDefault="00F03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למשפטו בכל מועד שיידרש לכך ורשאי הקצין הממונה, בהסכמתו של</w:t>
                        </w:r>
                      </w:p>
                      <w:p w:rsidR="00F033D6" w:rsidRDefault="00F03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החשוד, להתנות את הערובה גם באיסור על החשוד להיפגש או לקיים קשר עם</w:t>
                        </w:r>
                      </w:p>
                      <w:p w:rsidR="00F033D6" w:rsidRDefault="00F03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שיקבע, או באיסור להיכנס למקום מסויים או לצאת ממקום מסויים, לפרק</w:t>
                        </w:r>
                      </w:p>
                      <w:p w:rsidR="00F033D6" w:rsidRDefault="00F03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זמן שיקבע; כן רשאי הוא להתנות את הערובה בהפקדת דרכונו של החשוד</w:t>
                        </w:r>
                      </w:p>
                      <w:p w:rsidR="00F033D6" w:rsidRDefault="00F03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במשטרה ובהתחייבותו של החשוד בכתב שלא לצאת מן הארץ: דין התחייבות</w:t>
                        </w:r>
                      </w:p>
                      <w:p w:rsidR="00F033D6" w:rsidRDefault="00F03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כזו כדין צו שופט לעיכוב יציאה מהארץ;":</w:t>
                        </w:r>
                      </w:p>
                      <w:p w:rsidR="00F033D6" w:rsidRPr="00DA477E" w:rsidRDefault="00F03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(ד), במקום "תשעים יום" יבוא "מאה ושמונים ימים".</w:t>
                        </w:r>
                      </w:p>
                    </w:tc>
                    <w:tc>
                      <w:tcPr>
                        <w:tcW w:w="829" w:type="pct"/>
                      </w:tcPr>
                      <w:p w:rsidR="00F033D6" w:rsidRPr="00DA477E" w:rsidRDefault="00F03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</w:t>
                        </w:r>
                      </w:p>
                    </w:tc>
                  </w:tr>
                  <w:tr w:rsidR="00F033D6" w:rsidRPr="00DA477E">
                    <w:trPr>
                      <w:jc w:val="right"/>
                    </w:trPr>
                    <w:tc>
                      <w:tcPr>
                        <w:tcW w:w="4171" w:type="pct"/>
                        <w:gridSpan w:val="2"/>
                      </w:tcPr>
                      <w:p w:rsidR="00F033D6" w:rsidRPr="00DA477E" w:rsidRDefault="00F03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12 לפקודה יבוא:</w:t>
                        </w:r>
                      </w:p>
                    </w:tc>
                    <w:tc>
                      <w:tcPr>
                        <w:tcW w:w="829" w:type="pct"/>
                      </w:tcPr>
                      <w:p w:rsidR="00F033D6" w:rsidRPr="00DA477E" w:rsidRDefault="00F03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החלמת סעיף 12</w:t>
                        </w:r>
                      </w:p>
                    </w:tc>
                  </w:tr>
                  <w:tr w:rsidR="00F033D6">
                    <w:trPr>
                      <w:jc w:val="right"/>
                    </w:trPr>
                    <w:tc>
                      <w:tcPr>
                        <w:tcW w:w="3627" w:type="pct"/>
                      </w:tcPr>
                      <w:p w:rsidR="00F033D6" w:rsidRDefault="00F03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מי ששוחרר בערובה לפי סימן זה רשאי:</w:t>
                        </w:r>
                      </w:p>
                      <w:p w:rsidR="00F033D6" w:rsidRDefault="00F03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לערור לפגי בית משפט שלום על גובה הערובה תוך שבעה ימים</w:t>
                        </w:r>
                      </w:p>
                      <w:p w:rsidR="00F033D6" w:rsidRDefault="00F03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מתן הערובה:</w:t>
                        </w:r>
                      </w:p>
                      <w:p w:rsidR="00F033D6" w:rsidRDefault="00F03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להגיש לבית משפט שלום בקשה לעיון חוזר בענין הנוגע לתנאי</w:t>
                        </w:r>
                      </w:p>
                      <w:p w:rsidR="00F033D6" w:rsidRDefault="00F03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הערובה אם היו בלתי סבירים, או אם נשתנו הנסיבות והדבר עשוי</w:t>
                        </w:r>
                      </w:p>
                      <w:p w:rsidR="00F033D6" w:rsidRPr="00DA477E" w:rsidRDefault="00F03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להשפיע על קביעת תנאי הערובה."</w:t>
                        </w:r>
                      </w:p>
                    </w:tc>
                    <w:tc>
                      <w:tcPr>
                        <w:tcW w:w="544" w:type="pct"/>
                      </w:tcPr>
                      <w:p w:rsidR="00F033D6" w:rsidRDefault="00F03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"ערר ועיון</w:t>
                        </w:r>
                      </w:p>
                      <w:p w:rsidR="00F033D6" w:rsidRPr="00DA477E" w:rsidRDefault="00F03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חוזר</w:t>
                        </w:r>
                      </w:p>
                    </w:tc>
                    <w:tc>
                      <w:tcPr>
                        <w:tcW w:w="829" w:type="pct"/>
                      </w:tcPr>
                      <w:p w:rsidR="00F033D6" w:rsidRDefault="00F033D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033D6" w:rsidRPr="00DA477E">
                    <w:trPr>
                      <w:jc w:val="right"/>
                    </w:trPr>
                    <w:tc>
                      <w:tcPr>
                        <w:tcW w:w="4171" w:type="pct"/>
                        <w:gridSpan w:val="2"/>
                      </w:tcPr>
                      <w:p w:rsidR="00F033D6" w:rsidRDefault="00F03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14 לפקודה, במקום סעיף קטן (א) יבוא:</w:t>
                        </w:r>
                      </w:p>
                      <w:p w:rsidR="00F033D6" w:rsidRDefault="00F03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ניתנה ערובה והוכח לבית המשפט כי מי שהוטלה עליו ערובה הפר תנאי</w:t>
                        </w:r>
                      </w:p>
                      <w:p w:rsidR="00F033D6" w:rsidRDefault="00F03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מתנאיה, רשאי בית המשפט לצוות על חילוט הערובה כולה או מקצתה, לאחר שנתן</w:t>
                        </w:r>
                      </w:p>
                      <w:p w:rsidR="00F033D6" w:rsidRDefault="00F03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או לערב, לפי הענין, הזדמנות להשמיע דברו - וכן רשאי הוא לצוות על מעצרו</w:t>
                        </w:r>
                      </w:p>
                      <w:p w:rsidR="00F033D6" w:rsidRPr="00DA477E" w:rsidRDefault="00F03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מי שהוטלה עליו ערובה."</w:t>
                        </w:r>
                      </w:p>
                    </w:tc>
                    <w:tc>
                      <w:tcPr>
                        <w:tcW w:w="829" w:type="pct"/>
                      </w:tcPr>
                      <w:p w:rsidR="00F033D6" w:rsidRPr="00DA477E" w:rsidRDefault="00F03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</w:tr>
                  <w:tr w:rsidR="00F033D6" w:rsidRPr="00DA477E">
                    <w:trPr>
                      <w:jc w:val="right"/>
                    </w:trPr>
                    <w:tc>
                      <w:tcPr>
                        <w:tcW w:w="4171" w:type="pct"/>
                        <w:gridSpan w:val="2"/>
                      </w:tcPr>
                      <w:p w:rsidR="00F033D6" w:rsidRPr="00DA477E" w:rsidRDefault="00F03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בכותרת סימן ג' לפקודה, במקום המלה "הנעצר" יבוא "החשוד".</w:t>
                        </w:r>
                      </w:p>
                    </w:tc>
                    <w:tc>
                      <w:tcPr>
                        <w:tcW w:w="829" w:type="pct"/>
                      </w:tcPr>
                      <w:p w:rsidR="00F033D6" w:rsidRPr="00DA477E" w:rsidRDefault="00F03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כותרת</w:t>
                        </w:r>
                      </w:p>
                    </w:tc>
                  </w:tr>
                  <w:tr w:rsidR="00F033D6" w:rsidRPr="00DA477E">
                    <w:trPr>
                      <w:jc w:val="right"/>
                    </w:trPr>
                    <w:tc>
                      <w:tcPr>
                        <w:tcW w:w="4171" w:type="pct"/>
                        <w:gridSpan w:val="2"/>
                      </w:tcPr>
                      <w:p w:rsidR="00F033D6" w:rsidRDefault="00F03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17 לפקודה, אחרי סעיף קטן (ג) יבוא:</w:t>
                        </w:r>
                      </w:p>
                      <w:p w:rsidR="00F033D6" w:rsidRDefault="00F03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קצין משטרה רשאי לשחרר אדם שנעצר לפי סעיף קטן (ב) או (ג) לפני תום</w:t>
                        </w:r>
                      </w:p>
                      <w:p w:rsidR="00F033D6" w:rsidRDefault="00F03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המעצר שנקבעה על-ידי השופט, אלא אם כן קבע השופט שהעצור יובא לפניו</w:t>
                        </w:r>
                      </w:p>
                      <w:p w:rsidR="00F033D6" w:rsidRDefault="00F03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שהעצור ביקש זאת; השחרור יהיה ללא ערובה או בערובה כפי שקבע בית</w:t>
                        </w:r>
                      </w:p>
                      <w:p w:rsidR="00F033D6" w:rsidRDefault="00F03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המשפט, או בערובה שיקבע קצין המשטרה כאמור בסעיף 11, אם לא קבע בית</w:t>
                        </w:r>
                      </w:p>
                      <w:p w:rsidR="00F033D6" w:rsidRPr="00DA477E" w:rsidRDefault="00F03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אחרת ובלבד שהעצור או סניגורו הסכימו לה."</w:t>
                        </w:r>
                      </w:p>
                    </w:tc>
                    <w:tc>
                      <w:tcPr>
                        <w:tcW w:w="829" w:type="pct"/>
                      </w:tcPr>
                      <w:p w:rsidR="00F033D6" w:rsidRPr="00DA477E" w:rsidRDefault="00F03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</w:tr>
                </w:tbl>
                <w:p w:rsidR="00F033D6" w:rsidRDefault="00F033D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479" o:spid="_x0000_s1028" type="#_x0000_t202" style="position:absolute;left:0;text-align:left;margin-left:94.85pt;margin-top:70.4pt;width:384.5pt;height:38.6pt;z-index:1;mso-wrap-style:none;mso-position-horizontal-relative:page;mso-position-vertical-relative:page" stroked="f">
            <v:textbox style="mso-next-textbox:#_x0000_s38479" inset="0,0,0,0">
              <w:txbxContent>
                <w:p w:rsidR="00F033D6" w:rsidRDefault="00F033D6">
                  <w:pPr>
                    <w:pStyle w:val="OCRStyle1"/>
                    <w:ind w:left="18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סדר הדין הפלילי (מעצר וחיפוש) [נוסח חדש] (מס' 5),</w:t>
                  </w:r>
                </w:p>
                <w:p w:rsidR="00F033D6" w:rsidRPr="00DA477E" w:rsidRDefault="00F033D6">
                  <w:pPr>
                    <w:pStyle w:val="OCRStyle1"/>
                    <w:ind w:left="289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התש"ן- 1989 *</w:t>
                  </w:r>
                </w:p>
              </w:txbxContent>
            </v:textbox>
            <w10:wrap anchorx="page" anchory="page"/>
          </v:shape>
        </w:pict>
      </w:r>
    </w:p>
    <w:p w:rsidR="00F033D6" w:rsidRDefault="00F033D6">
      <w:pPr>
        <w:rPr>
          <w:rtl/>
        </w:rPr>
      </w:pPr>
      <w:r>
        <w:rPr>
          <w:rtl/>
        </w:rPr>
        <w:br w:type="page"/>
      </w:r>
    </w:p>
    <w:p w:rsidR="00F033D6" w:rsidRDefault="00000000">
      <w:pPr>
        <w:rPr>
          <w:rtl/>
        </w:rPr>
      </w:pPr>
      <w:r>
        <w:pict>
          <v:shape id="_x0000_s38480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8480" inset="0,0,0,0">
              <w:txbxContent>
                <w:p w:rsidR="00F033D6" w:rsidRDefault="00F033D6">
                  <w:r>
                    <w:rPr>
                      <w:rtl/>
                    </w:rPr>
                    <w:t>17                                          ספר החוקים 1292                  ט"ו בכסליו התש"נ 13.12.1989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81" o:spid="_x0000_s1030" type="#_x0000_t202" style="position:absolute;left:0;text-align:left;margin-left:448.8pt;margin-top:293.3pt;width:91.65pt;height:14.65pt;z-index:9;mso-wrap-style:none;mso-position-horizontal-relative:page;mso-position-vertical-relative:page" stroked="f">
            <v:textbox style="mso-next-textbox:#_x0000_s38481" inset="0,0,0,0">
              <w:txbxContent>
                <w:p w:rsidR="00F033D6" w:rsidRPr="00F033D6" w:rsidRDefault="00F033D6">
                  <w:pPr>
                    <w:pStyle w:val="OCRStyle2"/>
                    <w:ind w:left="36"/>
                  </w:pPr>
                  <w:r>
                    <w:rPr>
                      <w:rtl/>
                    </w:rPr>
                    <w:t>- ס"ח התשמ"ב, עמ' 43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82" o:spid="_x0000_s1031" type="#_x0000_t202" style="position:absolute;left:0;text-align:left;margin-left:188.4pt;margin-top:226.75pt;width:90.5pt;height:43.75pt;z-index:8;mso-wrap-style:none;mso-position-horizontal-relative:page;mso-position-vertical-relative:page" stroked="f">
            <v:textbox style="mso-next-textbox:#_x0000_s38482" inset="0,0,0,0">
              <w:txbxContent>
                <w:p w:rsidR="00F033D6" w:rsidRDefault="00F033D6">
                  <w:pPr>
                    <w:pStyle w:val="OCRStyle2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דן מרידור</w:t>
                  </w:r>
                </w:p>
                <w:p w:rsidR="00F033D6" w:rsidRDefault="00F033D6">
                  <w:pPr>
                    <w:pStyle w:val="OCRStyle2"/>
                    <w:ind w:left="39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83" o:spid="_x0000_s1032" type="#_x0000_t202" style="position:absolute;left:0;text-align:left;margin-left:311.35pt;margin-top:231.9pt;width:91.65pt;height:33.25pt;z-index:7;mso-wrap-style:none;mso-position-horizontal-relative:page;mso-position-vertical-relative:page" stroked="f">
            <v:textbox style="mso-next-textbox:#_x0000_s38483" inset="0,0,0,0">
              <w:txbxContent>
                <w:p w:rsidR="00F033D6" w:rsidRDefault="00F033D6">
                  <w:pPr>
                    <w:pStyle w:val="OCRStyle2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F033D6" w:rsidRDefault="00F033D6">
                  <w:pPr>
                    <w:pStyle w:val="OCRStyle2"/>
                    <w:ind w:left="32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84" o:spid="_x0000_s1033" type="#_x0000_t202" style="position:absolute;left:0;text-align:left;margin-left:437.3pt;margin-top:249.55pt;width:87.7pt;height:39.6pt;z-index:6;mso-wrap-style:none;mso-position-horizontal-relative:page;mso-position-vertical-relative:page" stroked="f">
            <v:textbox style="mso-next-textbox:#_x0000_s38484" inset="0,0,0,0">
              <w:txbxContent>
                <w:p w:rsidR="00F033D6" w:rsidRDefault="00F033D6">
                  <w:pPr>
                    <w:pStyle w:val="OCRStyle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F033D6" w:rsidRDefault="00F033D6">
                  <w:pPr>
                    <w:pStyle w:val="OCRStyle2"/>
                    <w:ind w:left="28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85" o:spid="_x0000_s1034" type="#_x0000_t202" style="position:absolute;left:0;text-align:left;margin-left:79.9pt;margin-top:68.35pt;width:474.2pt;height:151.05pt;z-index:5;mso-wrap-style:none;mso-position-horizontal-relative:page;mso-position-vertical-relative:page" stroked="f">
            <v:textbox style="mso-next-textbox:#_x0000_s38485" inset="0,0,0,0">
              <w:txbxContent>
                <w:tbl>
                  <w:tblPr>
                    <w:tblW w:w="505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48"/>
                    <w:gridCol w:w="5891"/>
                    <w:gridCol w:w="1183"/>
                  </w:tblGrid>
                  <w:tr w:rsidR="00F033D6" w:rsidRPr="00F033D6">
                    <w:trPr>
                      <w:jc w:val="right"/>
                    </w:trPr>
                    <w:tc>
                      <w:tcPr>
                        <w:tcW w:w="898" w:type="pct"/>
                      </w:tcPr>
                      <w:p w:rsidR="00F033D6" w:rsidRPr="00F033D6" w:rsidRDefault="00F033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18א</w:t>
                        </w:r>
                      </w:p>
                    </w:tc>
                    <w:tc>
                      <w:tcPr>
                        <w:tcW w:w="4102" w:type="pct"/>
                        <w:gridSpan w:val="2"/>
                      </w:tcPr>
                      <w:p w:rsidR="00F033D6" w:rsidRPr="00F033D6" w:rsidRDefault="00F033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אחרי סעיף 18 לפקודה יבוא:</w:t>
                        </w:r>
                      </w:p>
                    </w:tc>
                  </w:tr>
                  <w:tr w:rsidR="00F033D6" w:rsidRPr="00F033D6">
                    <w:trPr>
                      <w:jc w:val="right"/>
                    </w:trPr>
                    <w:tc>
                      <w:tcPr>
                        <w:tcW w:w="898" w:type="pct"/>
                      </w:tcPr>
                      <w:p w:rsidR="00F033D6" w:rsidRDefault="00F033D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6" w:type="pct"/>
                      </w:tcPr>
                      <w:p w:rsidR="00F033D6" w:rsidRDefault="00F033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 א, (א) לא הסכים אדם לתנאי ערובה כאמור בסעיף 11(ב) או ביקש תובע</w:t>
                        </w:r>
                      </w:p>
                      <w:p w:rsidR="00F033D6" w:rsidRDefault="00F033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תנאי ערובה אחרים מאלה שבסעיף האמור, רשאי שופט של בית משפט</w:t>
                        </w:r>
                      </w:p>
                      <w:p w:rsidR="00F033D6" w:rsidRDefault="00F033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שלום לדרוש ממנו, בנוכחותו, ליתן ערובה, על מנת להבטיח שיתייצב לחקירה</w:t>
                        </w:r>
                      </w:p>
                      <w:p w:rsidR="00F033D6" w:rsidRDefault="00F033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במשטרה ולמשפטו ורשאי הוא להוסיף תנאים ככל שימצא לנכון, לרבות</w:t>
                        </w:r>
                      </w:p>
                      <w:p w:rsidR="00F033D6" w:rsidRDefault="00F033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הפקדת דרכון ולצוות על איסור יציאה מן הארץ.</w:t>
                        </w:r>
                      </w:p>
                      <w:p w:rsidR="00F033D6" w:rsidRDefault="00F033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הטיל בית המשפט ערובה לפי סעיף זה יחולו, בשינויים המחוייבים,</w:t>
                        </w:r>
                      </w:p>
                      <w:p w:rsidR="00F033D6" w:rsidRDefault="00F033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סעיפים 37 עד 43, 45 עד 48, 50, 55 ו-56 לחוק סדר הדין הפלילי</w:t>
                        </w:r>
                      </w:p>
                      <w:p w:rsidR="00F033D6" w:rsidRDefault="00F033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(נוסח משולב], התשמ"ב-21982, כאילו שוחרר החשוד בערובה."</w:t>
                        </w:r>
                      </w:p>
                    </w:tc>
                    <w:tc>
                      <w:tcPr>
                        <w:tcW w:w="687" w:type="pct"/>
                      </w:tcPr>
                      <w:p w:rsidR="00F033D6" w:rsidRDefault="00F033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'ערובה ללא</w:t>
                        </w:r>
                      </w:p>
                      <w:p w:rsidR="00F033D6" w:rsidRPr="00F033D6" w:rsidRDefault="00F033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</w:t>
                        </w:r>
                      </w:p>
                    </w:tc>
                  </w:tr>
                </w:tbl>
                <w:p w:rsidR="00F033D6" w:rsidRDefault="00F033D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A477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477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534A301-4A73-41D7-A173-512C80E72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A477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033D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2008-04-07T03:30:00Z</dcterms:created>
  <dcterms:modified xsi:type="dcterms:W3CDTF">2008-04-07T03:31:00Z</dcterms:modified>
</cp:coreProperties>
</file>