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B0CD5" w:rsidRDefault="006B0CD5">
      <w:pPr>
        <w:rPr>
          <w:rtl/>
        </w:rPr>
      </w:pPr>
    </w:p>
    <w:p w:rsidR="006B0CD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58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8580" inset="0,0,0,0">
              <w:txbxContent>
                <w:p w:rsidR="006B0CD5" w:rsidRDefault="006B0CD5">
                  <w:r>
                    <w:rPr>
                      <w:rtl/>
                    </w:rPr>
                    <w:t>54                                          ספר החוקים 1303                    י"ג בשבט התש"נ 08.02.1990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81" o:spid="_x0000_s1026" type="#_x0000_t202" style="position:absolute;left:0;text-align:left;margin-left:83.05pt;margin-top:704.25pt;width:161.95pt;height:37.8pt;z-index:7;mso-wrap-style:none;mso-position-horizontal-relative:page;mso-position-vertical-relative:page" stroked="f">
            <v:textbox style="mso-next-textbox:#_x0000_s38581" inset="0,0,0,0">
              <w:txbxContent>
                <w:p w:rsidR="006B0CD5" w:rsidRDefault="006B0CD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582" o:spid="_x0000_s1027" type="#_x0000_t202" style="position:absolute;left:0;text-align:left;margin-left:83.05pt;margin-top:632.75pt;width:378pt;height:42.95pt;z-index:6;mso-wrap-style:none;mso-position-horizontal-relative:page;mso-position-vertical-relative:page" stroked="f">
            <v:textbox style="mso-next-textbox:#_x0000_s38582" inset="0,0,0,0">
              <w:txbxContent>
                <w:p w:rsidR="006B0CD5" w:rsidRDefault="006B0CD5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כיום ד- בשבט התש''ן (30 בינואר 1990); הגעת החוק ודברי הסבר פורסמו בה"ח 1966, התש"ן,</w:t>
                  </w:r>
                </w:p>
                <w:p w:rsidR="006B0CD5" w:rsidRDefault="006B0CD5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עמ' 50.</w:t>
                  </w:r>
                </w:p>
                <w:p w:rsidR="006B0CD5" w:rsidRPr="006B0CD5" w:rsidRDefault="006B0CD5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1 ס"ח התשכ"ח, עמ' 108: התשמ''ח, עמ' 74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83" o:spid="_x0000_s1028" type="#_x0000_t202" style="position:absolute;left:0;text-align:left;margin-left:102.85pt;margin-top:556.95pt;width:97.4pt;height:25.95pt;z-index:5;mso-wrap-style:none;mso-position-horizontal-relative:page;mso-position-vertical-relative:page" stroked="f">
            <v:textbox style="mso-next-textbox:#_x0000_s38583" inset="0,0,0,0">
              <w:txbxContent>
                <w:p w:rsidR="006B0CD5" w:rsidRDefault="006B0CD5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6B0CD5" w:rsidRDefault="006B0CD5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84" o:spid="_x0000_s1029" type="#_x0000_t202" style="position:absolute;left:0;text-align:left;margin-left:247.6pt;margin-top:554.35pt;width:72.25pt;height:30.1pt;z-index:4;mso-wrap-style:none;mso-position-horizontal-relative:page;mso-position-vertical-relative:page" stroked="f">
            <v:textbox style="mso-next-textbox:#_x0000_s38584" inset="0,0,0,0">
              <w:txbxContent>
                <w:p w:rsidR="006B0CD5" w:rsidRDefault="006B0CD5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יצחר שמיר</w:t>
                  </w:r>
                </w:p>
                <w:p w:rsidR="006B0CD5" w:rsidRDefault="006B0CD5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85" o:spid="_x0000_s1030" type="#_x0000_t202" style="position:absolute;left:0;text-align:left;margin-left:367.2pt;margin-top:581.85pt;width:79.2pt;height:33.65pt;z-index:3;mso-wrap-style:none;mso-position-horizontal-relative:page;mso-position-vertical-relative:page" stroked="f">
            <v:textbox style="mso-next-textbox:#_x0000_s38585" inset="0,0,0,0">
              <w:txbxContent>
                <w:p w:rsidR="006B0CD5" w:rsidRDefault="006B0CD5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6B0CD5" w:rsidRDefault="006B0CD5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86" o:spid="_x0000_s1031" type="#_x0000_t202" style="position:absolute;left:0;text-align:left;margin-left:79.7pt;margin-top:365.85pt;width:456.2pt;height:188.3pt;z-index:2;mso-wrap-style:none;mso-position-horizontal-relative:page;mso-position-vertical-relative:page" stroked="f">
            <v:textbox style="mso-next-textbox:#_x0000_s38586" inset="0,0,0,0">
              <w:txbxContent>
                <w:tbl>
                  <w:tblPr>
                    <w:tblW w:w="486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92"/>
                    <w:gridCol w:w="1206"/>
                    <w:gridCol w:w="1198"/>
                  </w:tblGrid>
                  <w:tr w:rsidR="006B0CD5" w:rsidRPr="006B0CD5">
                    <w:trPr>
                      <w:jc w:val="right"/>
                    </w:trPr>
                    <w:tc>
                      <w:tcPr>
                        <w:tcW w:w="4278" w:type="pct"/>
                        <w:gridSpan w:val="2"/>
                      </w:tcPr>
                      <w:p w:rsidR="006B0CD5" w:rsidRDefault="006B0CD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127נו לחוק הביטוח הלאומי [נוסח משולב]. התשכ"ח-1968 1 (להלן החוק</w:t>
                        </w:r>
                      </w:p>
                      <w:p w:rsidR="006B0CD5" w:rsidRDefault="006B0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במקום הסיפה המתחילה כמלים "עד מקסימום" יביא "עד מקסימום של השכר הממוצע</w:t>
                        </w:r>
                      </w:p>
                      <w:p w:rsidR="006B0CD5" w:rsidRPr="006B0CD5" w:rsidRDefault="006B0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כפול עשר, לגבי כל עובד, בכפוף להוראות סעיף 127סא(ב)."</w:t>
                        </w:r>
                      </w:p>
                    </w:tc>
                    <w:tc>
                      <w:tcPr>
                        <w:tcW w:w="722" w:type="pct"/>
                      </w:tcPr>
                      <w:p w:rsidR="006B0CD5" w:rsidRDefault="006B0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</w:t>
                        </w:r>
                      </w:p>
                      <w:p w:rsidR="006B0CD5" w:rsidRPr="006B0CD5" w:rsidRDefault="006B0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ליוני</w:t>
                        </w:r>
                      </w:p>
                    </w:tc>
                  </w:tr>
                  <w:tr w:rsidR="006B0CD5" w:rsidRPr="006B0CD5">
                    <w:trPr>
                      <w:jc w:val="right"/>
                    </w:trPr>
                    <w:tc>
                      <w:tcPr>
                        <w:tcW w:w="4278" w:type="pct"/>
                        <w:gridSpan w:val="2"/>
                      </w:tcPr>
                      <w:p w:rsidR="006B0CD5" w:rsidRDefault="006B0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127 נז (א) לחוק העיקרי, במקום הסיפה המתחילה במלים "עד מקסימום" יבוא "עד</w:t>
                        </w:r>
                      </w:p>
                      <w:p w:rsidR="006B0CD5" w:rsidRPr="006B0CD5" w:rsidRDefault="006B0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מקסימום של השכר הממוצע, לגבי כל עובד, בכפוף להוראות סעיף 127סא(כ)"</w:t>
                        </w:r>
                      </w:p>
                    </w:tc>
                    <w:tc>
                      <w:tcPr>
                        <w:tcW w:w="722" w:type="pct"/>
                      </w:tcPr>
                      <w:p w:rsidR="006B0CD5" w:rsidRDefault="006B0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</w:t>
                        </w:r>
                      </w:p>
                      <w:p w:rsidR="006B0CD5" w:rsidRPr="006B0CD5" w:rsidRDefault="006B0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127נז</w:t>
                        </w:r>
                      </w:p>
                    </w:tc>
                  </w:tr>
                  <w:tr w:rsidR="006B0CD5" w:rsidRPr="006B0CD5">
                    <w:trPr>
                      <w:jc w:val="right"/>
                    </w:trPr>
                    <w:tc>
                      <w:tcPr>
                        <w:tcW w:w="4278" w:type="pct"/>
                        <w:gridSpan w:val="2"/>
                      </w:tcPr>
                      <w:p w:rsidR="006B0CD5" w:rsidRPr="006B0CD5" w:rsidRDefault="006B0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127נח לחוק העיקרי יבוא:</w:t>
                        </w:r>
                      </w:p>
                    </w:tc>
                    <w:tc>
                      <w:tcPr>
                        <w:tcW w:w="722" w:type="pct"/>
                      </w:tcPr>
                      <w:p w:rsidR="006B0CD5" w:rsidRDefault="006B0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</w:t>
                        </w:r>
                      </w:p>
                      <w:p w:rsidR="006B0CD5" w:rsidRPr="006B0CD5" w:rsidRDefault="006B0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127נח</w:t>
                        </w:r>
                      </w:p>
                    </w:tc>
                  </w:tr>
                  <w:tr w:rsidR="006B0CD5">
                    <w:trPr>
                      <w:jc w:val="right"/>
                    </w:trPr>
                    <w:tc>
                      <w:tcPr>
                        <w:tcW w:w="3551" w:type="pct"/>
                      </w:tcPr>
                      <w:p w:rsidR="006B0CD5" w:rsidRDefault="006B0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נח, השר יפרסם ברשומות הודעה בדבר השינויים בסכומי המקסימום</w:t>
                        </w:r>
                      </w:p>
                      <w:p w:rsidR="006B0CD5" w:rsidRPr="006B0CD5" w:rsidRDefault="006B0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שיחולו מכוח סעיפים 127נו ו-127נז."</w:t>
                        </w:r>
                      </w:p>
                    </w:tc>
                    <w:tc>
                      <w:tcPr>
                        <w:tcW w:w="727" w:type="pct"/>
                      </w:tcPr>
                      <w:p w:rsidR="006B0CD5" w:rsidRDefault="006B0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סכומי</w:t>
                        </w:r>
                      </w:p>
                      <w:p w:rsidR="006B0CD5" w:rsidRPr="006B0CD5" w:rsidRDefault="006B0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המקסימום</w:t>
                        </w:r>
                      </w:p>
                    </w:tc>
                    <w:tc>
                      <w:tcPr>
                        <w:tcW w:w="722" w:type="pct"/>
                      </w:tcPr>
                      <w:p w:rsidR="006B0CD5" w:rsidRDefault="006B0CD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B0CD5" w:rsidRPr="006B0CD5">
                    <w:trPr>
                      <w:jc w:val="right"/>
                    </w:trPr>
                    <w:tc>
                      <w:tcPr>
                        <w:tcW w:w="4278" w:type="pct"/>
                        <w:gridSpan w:val="2"/>
                      </w:tcPr>
                      <w:p w:rsidR="006B0CD5" w:rsidRDefault="006B0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תחילתו של חוק זה ב- 1 בחודש שלאחר פרסומו והוא יחול גם על תביעה לגימלה, שהוגשה</w:t>
                        </w:r>
                      </w:p>
                      <w:p w:rsidR="006B0CD5" w:rsidRPr="006B0CD5" w:rsidRDefault="006B0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פרק ו'3 לחוק העיקרי לפני היום האמור ובלבד שהגימלה טרם שולמה.</w:t>
                        </w:r>
                      </w:p>
                    </w:tc>
                    <w:tc>
                      <w:tcPr>
                        <w:tcW w:w="722" w:type="pct"/>
                      </w:tcPr>
                      <w:p w:rsidR="006B0CD5" w:rsidRPr="006B0CD5" w:rsidRDefault="006B0C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</w:tr>
                </w:tbl>
                <w:p w:rsidR="006B0CD5" w:rsidRDefault="006B0CD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587" o:spid="_x0000_s1032" type="#_x0000_t202" style="position:absolute;left:0;text-align:left;margin-left:142.45pt;margin-top:340.9pt;width:266.1pt;height:18pt;z-index:1;mso-wrap-style:none;mso-position-horizontal-relative:page;mso-position-vertical-relative:page" stroked="f">
            <v:textbox style="mso-next-textbox:#_x0000_s38587" inset="0,0,0,0">
              <w:txbxContent>
                <w:p w:rsidR="006B0CD5" w:rsidRPr="006B0CD5" w:rsidRDefault="006B0CD5">
                  <w:pPr>
                    <w:pStyle w:val="OCRStyle1"/>
                    <w:ind w:left="7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הביטוח הלאומי (תיקון מס' 70), התש"ן-1990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B0CD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0CD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85BC5FD-9831-4BC8-ABB2-F8628FB4C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B0CD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2008-04-07T03:33:00Z</dcterms:created>
  <dcterms:modified xsi:type="dcterms:W3CDTF">2008-04-07T03:33:00Z</dcterms:modified>
</cp:coreProperties>
</file>