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135E" w:rsidRDefault="0066135E">
      <w:pPr>
        <w:rPr>
          <w:rtl/>
        </w:rPr>
      </w:pPr>
    </w:p>
    <w:p w:rsidR="0066135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70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700" inset="0,0,0,0">
              <w:txbxContent>
                <w:p w:rsidR="00176C36" w:rsidRDefault="00176C36">
                  <w:r>
                    <w:rPr>
                      <w:rtl/>
                    </w:rPr>
                    <w:t>72                                          ספר החוקים 1281                  כ"ג בתמוז התשמ"ט 26.07.1989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01" o:spid="_x0000_s1026" type="#_x0000_t202" style="position:absolute;left:0;text-align:left;margin-left:75.25pt;margin-top:661.25pt;width:395.2pt;height:95.45pt;z-index:3;mso-wrap-style:none;mso-position-horizontal-relative:page;mso-position-vertical-relative:page" stroked="f">
            <v:textbox style="mso-next-textbox:#_x0000_s38701" inset="0,0,0,0">
              <w:txbxContent>
                <w:p w:rsidR="00176C36" w:rsidRDefault="00176C36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בתמוז התשמ"ט (17 ביולי 1989): הצעת החוק ודברי הסבר פורסמו בהצעות חוק 1927, מיום כ"ח</w:t>
                  </w:r>
                </w:p>
                <w:p w:rsidR="00176C36" w:rsidRDefault="00176C36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בניסן התשמ"ט (3 במאי 1989), עמ' 76.</w:t>
                  </w:r>
                </w:p>
                <w:p w:rsidR="00176C36" w:rsidRDefault="00176C36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1 ס"ח התשכ"ט, עמ' 103, ועמ' 196; התש''ל, עמ' 146: התשל''ג, עמ' 74, עמ' 108 ועמ' 152; התשל''ז, עמ' 74; התשל''ח,</w:t>
                  </w:r>
                </w:p>
                <w:p w:rsidR="00176C36" w:rsidRDefault="00176C36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עמ' 136 ועמ' 137: התשמ"א, עמ' 120, עמ' 169, עמ' 176 ועמ' 281: התשמ"ג, עמ' 106: התשמ"ה, עמ' 196: התשמ"ו,</w:t>
                  </w:r>
                </w:p>
                <w:p w:rsidR="00176C36" w:rsidRPr="0066135E" w:rsidRDefault="00176C36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עמ' 217 ועמ' 236: התשמ''ח, עמ' 247.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02" o:spid="_x0000_s1027" type="#_x0000_t202" style="position:absolute;left:0;text-align:left;margin-left:82.35pt;margin-top:97.95pt;width:481.55pt;height:562.5pt;z-index:2;mso-wrap-style:none;mso-position-horizontal-relative:page;mso-position-vertical-relative:page" stroked="f">
            <v:textbox style="mso-next-textbox:#_x0000_s38702" inset="0,0,0,0">
              <w:txbxContent>
                <w:tbl>
                  <w:tblPr>
                    <w:tblW w:w="51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4"/>
                    <w:gridCol w:w="1091"/>
                    <w:gridCol w:w="1770"/>
                  </w:tblGrid>
                  <w:tr w:rsidR="00176C36" w:rsidRPr="0066135E">
                    <w:trPr>
                      <w:jc w:val="right"/>
                    </w:trPr>
                    <w:tc>
                      <w:tcPr>
                        <w:tcW w:w="3989" w:type="pct"/>
                        <w:gridSpan w:val="2"/>
                      </w:tcPr>
                      <w:p w:rsidR="00176C36" w:rsidRPr="0066135E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במקום סעיף 86 לחוק הבחירות לכנסת [נוסח משולב], התשכ"ט-1969 1, יבוא: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86</w:t>
                        </w:r>
                      </w:p>
                      <w:p w:rsidR="00176C36" w:rsidRPr="0066135E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והוספת סעיף 86א</w:t>
                        </w:r>
                      </w:p>
                    </w:tc>
                  </w:tr>
                  <w:tr w:rsidR="00176C36">
                    <w:trPr>
                      <w:jc w:val="right"/>
                    </w:trPr>
                    <w:tc>
                      <w:tcPr>
                        <w:tcW w:w="3366" w:type="pct"/>
                      </w:tcPr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86. (א) כל חבר של ועדת הבחירות המרכזית ושל ועדת בחירות אזורית,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סיעה מסיעות הכנסת הנבחרת וכל חבר הכנסת, כל רשימת מועמדים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 ושהשתתפה בבחירות לכנסת וכל מועמד שהיה כלול בה וכן היועץ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רשאים לערער על תוצאות הבחירות בטענה -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שהבחירות ככללן או בקלפי מסויימת לא התנהלו כחוק, או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שחלוקת הקולות בין רשימות המועמדים לא היתה נכונה;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שהמנדטים לא חולקו כחוק;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שקולות שניתנו בעד רשימת מועמדים מסויימת הושגו שלא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 -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שהליקוי שטוענים עליו עשוי היה להשפיע על תוצאות הבחירות.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הערעור יוגש לבית המשפט המחוזי כירושלים תוך 14 ימים מיום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תוצאות הבחירות; בית המשפט ידון בערעור בשלושה.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המשיבים בערעור יהיו יושב-ראש ועדת הבחירות המרכזית, שר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וכן בא כוחה של סיעה וחבר הכנסת שהערעור נוגע להם.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רשאי -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לבטל את הבחירות בכללן או בקלפי מסויימת ולצוות על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עריכתן שנית במועד שיקבע;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להכריז שפלוני לא נבחר לחבר הכנסת וכי אדם אחר נבחר;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מחדש את חלוקת הקולות בין רשימות המועמדים,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ולהכריז לפי זה על תוצאות הבחירות.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פסק דינו של בית המשפט המחוזי ניתן לערער לבית המשפט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בשאלה משפטית אם ניתנה רשות לכך מאת נשיא בית המשפט העליון;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יוגש תוך שלושה ימים מיום מתן פסק הדין.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החליט בית המשפט המחוזי על ביטול הבחירות בכללן, רשאי כל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מהמנויים בסעיף קטן (א) לערער על פסק הדין לפני בית המשפט העליון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וככל ענין, גם אם לא היה צד להליך כבית המשפט המחוזי, ובית המשפט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ידון כערעור כחמישה שופטים או במספר בלתי זוגי גזול יותר, כפי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שיורה נשיא בית המשפט העליון.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המשפטים רשאי להתקין תקנות סדרי דין לענין ערעורים לפי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ערעור לפי סעיף זה לא יעכב את עבודת הכנסת, ותוצאות הערעור</w:t>
                        </w:r>
                      </w:p>
                      <w:p w:rsidR="00176C36" w:rsidRPr="0066135E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יגרעו מחוקיות ההחלטות שנתקבלו על ידיה.</w:t>
                        </w:r>
                      </w:p>
                    </w:tc>
                    <w:tc>
                      <w:tcPr>
                        <w:tcW w:w="623" w:type="pct"/>
                      </w:tcPr>
                      <w:p w:rsidR="00176C36" w:rsidRPr="0066135E" w:rsidRDefault="00176C3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 כחירות</w:t>
                        </w:r>
                      </w:p>
                    </w:tc>
                    <w:tc>
                      <w:tcPr>
                        <w:tcW w:w="1011" w:type="pct"/>
                      </w:tcPr>
                      <w:p w:rsidR="00176C36" w:rsidRDefault="00176C3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76C36" w:rsidRDefault="00176C3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703" o:spid="_x0000_s1028" type="#_x0000_t202" style="position:absolute;left:0;text-align:left;margin-left:119.4pt;margin-top:77.15pt;width:311.45pt;height:20.8pt;z-index:1;mso-wrap-style:none;mso-position-horizontal-relative:page;mso-position-vertical-relative:page" stroked="f">
            <v:textbox style="mso-next-textbox:#_x0000_s38703" inset="0,0,0,0">
              <w:txbxContent>
                <w:p w:rsidR="00176C36" w:rsidRPr="0066135E" w:rsidRDefault="00176C36">
                  <w:pPr>
                    <w:pStyle w:val="OCRStyle1"/>
                    <w:ind w:left="27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הבחירות לכנסת (תיקון מס' 19), התשמ"ט-1989*</w:t>
                  </w:r>
                </w:p>
              </w:txbxContent>
            </v:textbox>
            <w10:wrap anchorx="page" anchory="page"/>
          </v:shape>
        </w:pict>
      </w:r>
    </w:p>
    <w:p w:rsidR="00176C36" w:rsidRDefault="00176C36">
      <w:pPr>
        <w:rPr>
          <w:rtl/>
        </w:rPr>
      </w:pPr>
      <w:r>
        <w:rPr>
          <w:rtl/>
        </w:rPr>
        <w:br w:type="page"/>
      </w:r>
    </w:p>
    <w:p w:rsidR="00176C36" w:rsidRDefault="00000000">
      <w:pPr>
        <w:rPr>
          <w:rtl/>
        </w:rPr>
      </w:pPr>
      <w:r>
        <w:pict>
          <v:shape id="_x0000_s3870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704" inset="0,0,0,0">
              <w:txbxContent>
                <w:p w:rsidR="00176C36" w:rsidRDefault="00176C36">
                  <w:r>
                    <w:rPr>
                      <w:rtl/>
                    </w:rPr>
                    <w:t>73                                          ספר החוקים 1281                  כ"ג בתמוז התשמ"ט 26.07.1989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05" o:spid="_x0000_s1030" type="#_x0000_t202" style="position:absolute;left:0;text-align:left;margin-left:450.85pt;margin-top:453.1pt;width:105.15pt;height:22.35pt;z-index:9;mso-wrap-style:none;mso-position-horizontal-relative:page;mso-position-vertical-relative:page" stroked="f">
            <v:textbox style="mso-next-textbox:#_x0000_s38705" inset="0,0,0,0">
              <w:txbxContent>
                <w:p w:rsidR="00176C36" w:rsidRPr="00176C36" w:rsidRDefault="00176C36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2 ס"ח התשל"ג,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06" o:spid="_x0000_s1031" type="#_x0000_t202" style="position:absolute;left:0;text-align:left;margin-left:182.55pt;margin-top:373.9pt;width:93.65pt;height:31.5pt;z-index:8;mso-wrap-style:none;mso-position-horizontal-relative:page;mso-position-vertical-relative:page" stroked="f">
            <v:textbox style="mso-next-textbox:#_x0000_s38706" inset="0,0,0,0">
              <w:txbxContent>
                <w:p w:rsidR="00176C36" w:rsidRDefault="00176C36">
                  <w:pPr>
                    <w:pStyle w:val="OCRStyle2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176C36" w:rsidRDefault="00176C36">
                  <w:pPr>
                    <w:pStyle w:val="OCRStyle2"/>
                    <w:ind w:left="51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07" o:spid="_x0000_s1032" type="#_x0000_t202" style="position:absolute;left:0;text-align:left;margin-left:307.7pt;margin-top:372.1pt;width:92.65pt;height:35.05pt;z-index:7;mso-wrap-style:none;mso-position-horizontal-relative:page;mso-position-vertical-relative:page" stroked="f">
            <v:textbox style="mso-next-textbox:#_x0000_s38707" inset="0,0,0,0">
              <w:txbxContent>
                <w:p w:rsidR="00176C36" w:rsidRDefault="00176C36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76C36" w:rsidRDefault="00176C36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08" o:spid="_x0000_s1033" type="#_x0000_t202" style="position:absolute;left:0;text-align:left;margin-left:431.05pt;margin-top:400.8pt;width:91.65pt;height:29.7pt;z-index:6;mso-wrap-style:none;mso-position-horizontal-relative:page;mso-position-vertical-relative:page" stroked="f">
            <v:textbox style="mso-next-textbox:#_x0000_s38708" inset="0,0,0,0">
              <w:txbxContent>
                <w:p w:rsidR="00176C36" w:rsidRDefault="00176C36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76C36" w:rsidRDefault="00176C36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09" o:spid="_x0000_s1034" type="#_x0000_t202" style="position:absolute;left:0;text-align:left;margin-left:92.45pt;margin-top:81.45pt;width:471.65pt;height:282.55pt;z-index:5;mso-wrap-style:none;mso-position-horizontal-relative:page;mso-position-vertical-relative:page" stroked="f">
            <v:textbox style="mso-next-textbox:#_x0000_s38709" inset="0,0,0,0">
              <w:txbxContent>
                <w:tbl>
                  <w:tblPr>
                    <w:tblW w:w="50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5840"/>
                    <w:gridCol w:w="1436"/>
                  </w:tblGrid>
                  <w:tr w:rsidR="00176C36" w:rsidRPr="00176C3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86א. ציווה בית המשפט על עריכת בחירות כאמור בסעיף 86(ד)(1), יחולו</w:t>
                        </w:r>
                      </w:p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בשינויים המחוייבים כסי שתקבע ועדת הבחירות המרכזית</w:t>
                        </w:r>
                      </w:p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המכהנת אותה שעה. על מועד הבחירות החוזרות ועל השינויים האמורים</w:t>
                        </w:r>
                      </w:p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תפרסם ועדת הבחירות המרכזית הודעה ברשומות ובכל דרך שתמצא לנכון."</w:t>
                        </w:r>
                      </w:p>
                    </w:tc>
                    <w:tc>
                      <w:tcPr>
                        <w:tcW w:w="837" w:type="pct"/>
                      </w:tcPr>
                      <w:p w:rsidR="00176C36" w:rsidRP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חוזרות</w:t>
                        </w:r>
                      </w:p>
                    </w:tc>
                  </w:tr>
                  <w:tr w:rsidR="00176C36" w:rsidRPr="00176C3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176C36" w:rsidRP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42" w:type="pct"/>
                        <w:gridSpan w:val="2"/>
                      </w:tcPr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ערעור על תוצאות הבחירות לכנסת השתים-עשרה שהוגש כדין לפני תחילתו של</w:t>
                        </w:r>
                      </w:p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והכנסת טרם החליטה בו, לא יוסיפו לדון בו, ואולם רשאי המערער לחזור ולהגישו לבית</w:t>
                        </w:r>
                      </w:p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לפי חוק זה לא יאוחר מ-30 ימים מיום תחילתו, אף אם אינו רשאי להגיש עירעור</w:t>
                        </w:r>
                      </w:p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בחוק זה.</w:t>
                        </w:r>
                      </w:p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ערעור שהוגש כאמור בסעיף קטן (א), יחולו הוראות סעיף 86 לחוק הבחירות</w:t>
                        </w:r>
                      </w:p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[נוסח משולב], התשכ"ט-1969, כנוסחו לפני תחילתו של חוק זה, בשינויים המחוייבים וכן</w:t>
                        </w:r>
                      </w:p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סעיף 86 לחוק האמור כנוסחו בחוק זה, למעט סעיפים קטנים (א) ו-(ד).</w:t>
                        </w:r>
                      </w:p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ערעור כאמור בסעיף קטן (א), יעביר מזכיר הכנסת את הפרוטוקולים של דיוני</w:t>
                        </w:r>
                      </w:p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הכנסת וכל מסמך אחר שהוגש לועדת הכנסת; בית המשפט יחליט כיצד לנהוג בחומר</w:t>
                        </w:r>
                      </w:p>
                      <w:p w:rsidR="00176C36" w:rsidRP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 אליו כאמור.</w:t>
                        </w:r>
                      </w:p>
                    </w:tc>
                  </w:tr>
                  <w:tr w:rsidR="00176C36" w:rsidRPr="00176C3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76C36" w:rsidRP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מפלגות</w:t>
                        </w:r>
                      </w:p>
                    </w:tc>
                    <w:tc>
                      <w:tcPr>
                        <w:tcW w:w="4242" w:type="pct"/>
                        <w:gridSpan w:val="2"/>
                      </w:tcPr>
                      <w:p w:rsidR="00176C36" w:rsidRP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4 לחוק מימון מפלגות, התשל"ג-21973, יבוא:</w:t>
                        </w:r>
                      </w:p>
                    </w:tc>
                  </w:tr>
                  <w:tr w:rsidR="00176C36" w:rsidRPr="00176C36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לא יינתן מימון מיוחד לצורך הוצאות לבחירות חוזרות הנערכות באזור</w:t>
                        </w:r>
                      </w:p>
                      <w:p w:rsid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 מסויימת, כאמור בסעיף 86(ד10)".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176C36" w:rsidRPr="00176C36" w:rsidRDefault="00176C3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למימון</w:t>
                        </w:r>
                      </w:p>
                    </w:tc>
                  </w:tr>
                </w:tbl>
                <w:p w:rsidR="00176C36" w:rsidRDefault="00176C3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6135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006DBE-C46B-4C18-B87F-E04B74436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6135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76C3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2008-04-07T03:23:00Z</dcterms:created>
  <dcterms:modified xsi:type="dcterms:W3CDTF">2008-04-07T03:23:00Z</dcterms:modified>
</cp:coreProperties>
</file>