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AE6E67" w:rsidRDefault="00AE6E67">
      <w:pPr>
        <w:rPr>
          <w:rtl/>
        </w:rPr>
      </w:pPr>
    </w:p>
    <w:p w:rsidR="00AE6E67" w:rsidRDefault="00000000">
      <w:pPr>
        <w:rPr>
          <w:rtl/>
        </w:rPr>
      </w:pPr>
      <w: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38754" o:spid="_x0000_s1025" type="#_x0000_t202" style="position:absolute;left:0;text-align:left;margin-left:50pt;margin-top:771.95pt;width:495.35pt;height:30pt;z-index:4;mso-position-horizontal-relative:page;mso-position-vertical-relative:page" stroked="f">
            <v:textbox style="mso-next-textbox:#_x0000_s38754" inset="0,0,0,0">
              <w:txbxContent>
                <w:p w:rsidR="005370F0" w:rsidRDefault="005370F0">
                  <w:r>
                    <w:rPr>
                      <w:rtl/>
                    </w:rPr>
                    <w:t>52                                          ספר החוקים 1274                   ח' בניסן התשמ"ט 13.04.1989</w:t>
                  </w:r>
                </w:p>
              </w:txbxContent>
            </v:textbox>
            <w10:wrap anchorx="page" anchory="page"/>
          </v:shape>
        </w:pict>
      </w:r>
      <w:r>
        <w:pict>
          <v:shape id="_x0000_s38755" o:spid="_x0000_s1026" type="#_x0000_t202" style="position:absolute;left:0;text-align:left;margin-left:71.95pt;margin-top:688.5pt;width:386.9pt;height:75.65pt;z-index:3;mso-wrap-style:none;mso-position-horizontal-relative:page;mso-position-vertical-relative:page" stroked="f">
            <v:textbox style="mso-next-textbox:#_x0000_s38755" inset="0,0,0,0">
              <w:txbxContent>
                <w:p w:rsidR="005370F0" w:rsidRDefault="005370F0">
                  <w:pPr>
                    <w:pStyle w:val="OCRStyle1"/>
                    <w:ind w:left="83"/>
                    <w:rPr>
                      <w:rtl/>
                    </w:rPr>
                  </w:pPr>
                  <w:r>
                    <w:rPr>
                      <w:rtl/>
                    </w:rPr>
                    <w:t>* נתקבל ככנסת כיוס ה' בניסן התשמ"ט (10 באפריל 1989) : הצעת החוק ודברי הסבר פורסמו בהצעות חוק 1921, מיום ל'</w:t>
                  </w:r>
                </w:p>
                <w:p w:rsidR="005370F0" w:rsidRDefault="005370F0">
                  <w:pPr>
                    <w:pStyle w:val="OCRStyle1"/>
                    <w:ind w:left="284"/>
                    <w:rPr>
                      <w:rtl/>
                    </w:rPr>
                  </w:pPr>
                  <w:r>
                    <w:rPr>
                      <w:rtl/>
                    </w:rPr>
                    <w:t>באדר א' התשמ"ט (7 במרס 1989), עמ' 55.</w:t>
                  </w:r>
                </w:p>
                <w:p w:rsidR="005370F0" w:rsidRPr="00AE6E67" w:rsidRDefault="005370F0">
                  <w:pPr>
                    <w:pStyle w:val="OCRStyle1"/>
                    <w:ind w:left="83"/>
                  </w:pPr>
                  <w:r>
                    <w:rPr>
                      <w:rtl/>
                    </w:rPr>
                    <w:t>1 ס"ח התשל"ח, עמ' 18: התשל"ט, עמ' 138 התש"ם, עמ' 38: התשמ"ב, עמ' 199; התשמ"ח, עמ' 75.</w:t>
                  </w:r>
                </w:p>
              </w:txbxContent>
            </v:textbox>
            <w10:wrap anchorx="page" anchory="page"/>
          </v:shape>
        </w:pict>
      </w:r>
      <w:r>
        <w:pict>
          <v:shape id="_x0000_s38756" o:spid="_x0000_s1027" type="#_x0000_t202" style="position:absolute;left:0;text-align:left;margin-left:74.7pt;margin-top:613.65pt;width:464.3pt;height:69.3pt;z-index:2;mso-wrap-style:none;mso-position-horizontal-relative:page;mso-position-vertical-relative:page" stroked="f">
            <v:textbox style="mso-next-textbox:#_x0000_s38756" inset="0,0,0,0">
              <w:txbxContent>
                <w:tbl>
                  <w:tblPr>
                    <w:tblW w:w="4952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7177"/>
                    <w:gridCol w:w="1264"/>
                  </w:tblGrid>
                  <w:tr w:rsidR="005370F0" w:rsidRPr="00AE6E67">
                    <w:trPr>
                      <w:jc w:val="right"/>
                    </w:trPr>
                    <w:tc>
                      <w:tcPr>
                        <w:tcW w:w="4251" w:type="pct"/>
                      </w:tcPr>
                      <w:p w:rsidR="005370F0" w:rsidRDefault="005370F0">
                        <w:pPr>
                          <w:pStyle w:val="OCRStyle1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1. בסעיף 2(א) לחוק המילוות (הוראות שונות), התשל"ח-1977 1 (להלן - החוק העיקרי),</w:t>
                        </w:r>
                      </w:p>
                      <w:p w:rsidR="005370F0" w:rsidRDefault="005370F0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כמקום פסקה (1) יבוא:</w:t>
                        </w:r>
                      </w:p>
                      <w:p w:rsidR="005370F0" w:rsidRDefault="005370F0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"(1) כי מילווה המצויין בפרטים 6א עד 6ב בתוספת השניה יהיה ניתן להעברה לבנק</w:t>
                        </w:r>
                      </w:p>
                      <w:p w:rsidR="005370F0" w:rsidRPr="00AE6E67" w:rsidRDefault="005370F0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ישראל בתנאים הקבועים בתקנות;".</w:t>
                        </w:r>
                      </w:p>
                    </w:tc>
                    <w:tc>
                      <w:tcPr>
                        <w:tcW w:w="749" w:type="pct"/>
                      </w:tcPr>
                      <w:p w:rsidR="005370F0" w:rsidRPr="00AE6E67" w:rsidRDefault="005370F0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סעיף 2</w:t>
                        </w:r>
                      </w:p>
                    </w:tc>
                  </w:tr>
                </w:tbl>
                <w:p w:rsidR="005370F0" w:rsidRDefault="005370F0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38757" o:spid="_x0000_s1028" type="#_x0000_t202" style="position:absolute;left:0;text-align:left;margin-left:112.35pt;margin-top:583.95pt;width:320.55pt;height:24.35pt;z-index:1;mso-wrap-style:none;mso-position-horizontal-relative:page;mso-position-vertical-relative:page" stroked="f">
            <v:textbox style="mso-next-textbox:#_x0000_s38757" inset="0,0,0,0">
              <w:txbxContent>
                <w:p w:rsidR="005370F0" w:rsidRPr="00AE6E67" w:rsidRDefault="005370F0">
                  <w:pPr>
                    <w:pStyle w:val="OCRStyle1"/>
                    <w:ind w:left="155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  <w:rtl/>
                    </w:rPr>
                    <w:t>חוק המילוות (הוראות שונות) (תיקון מס' 5), התשמ"ט-1989*</w:t>
                  </w:r>
                </w:p>
              </w:txbxContent>
            </v:textbox>
            <w10:wrap anchorx="page" anchory="page"/>
          </v:shape>
        </w:pict>
      </w:r>
    </w:p>
    <w:p w:rsidR="005370F0" w:rsidRDefault="005370F0">
      <w:pPr>
        <w:rPr>
          <w:rtl/>
        </w:rPr>
      </w:pPr>
      <w:r>
        <w:rPr>
          <w:rtl/>
        </w:rPr>
        <w:br w:type="page"/>
      </w:r>
    </w:p>
    <w:p w:rsidR="005370F0" w:rsidRDefault="00000000">
      <w:pPr>
        <w:rPr>
          <w:rtl/>
        </w:rPr>
      </w:pPr>
      <w:r>
        <w:pict>
          <v:shape id="_x0000_s38758" o:spid="_x0000_s1029" type="#_x0000_t202" style="position:absolute;left:0;text-align:left;margin-left:50pt;margin-top:771.95pt;width:495.35pt;height:30pt;z-index:10;mso-position-horizontal-relative:page;mso-position-vertical-relative:page" stroked="f">
            <v:textbox style="mso-next-textbox:#_x0000_s38758" inset="0,0,0,0">
              <w:txbxContent>
                <w:p w:rsidR="005370F0" w:rsidRDefault="005370F0">
                  <w:r>
                    <w:rPr>
                      <w:rtl/>
                    </w:rPr>
                    <w:t>53                                          ספר החוקים 1274                   ח' בניסן התשמ"ט 13.04.1989</w:t>
                  </w:r>
                </w:p>
              </w:txbxContent>
            </v:textbox>
            <w10:wrap anchorx="page" anchory="page"/>
          </v:shape>
        </w:pict>
      </w:r>
      <w:r>
        <w:pict>
          <v:shape id="_x0000_s38759" o:spid="_x0000_s1030" type="#_x0000_t202" style="position:absolute;left:0;text-align:left;margin-left:367pt;margin-top:451.7pt;width:193.45pt;height:42.35pt;z-index:9;mso-wrap-style:none;mso-position-horizontal-relative:page;mso-position-vertical-relative:page" stroked="f">
            <v:textbox style="mso-next-textbox:#_x0000_s38759" inset="0,0,0,0">
              <w:txbxContent>
                <w:p w:rsidR="005370F0" w:rsidRDefault="005370F0">
                  <w:pPr>
                    <w:pStyle w:val="OCRStyle2"/>
                    <w:ind w:left="184"/>
                    <w:rPr>
                      <w:rtl/>
                    </w:rPr>
                  </w:pPr>
                  <w:r>
                    <w:rPr>
                      <w:rtl/>
                    </w:rPr>
                    <w:t>2 ס"ח התשל"ו, עמ' 296: התשל"ח, עמ' 1, עמ' 19.</w:t>
                  </w:r>
                </w:p>
                <w:p w:rsidR="005370F0" w:rsidRDefault="005370F0">
                  <w:pPr>
                    <w:pStyle w:val="OCRStyle2"/>
                    <w:ind w:left="180"/>
                    <w:rPr>
                      <w:rtl/>
                    </w:rPr>
                  </w:pPr>
                  <w:r>
                    <w:rPr>
                      <w:rtl/>
                    </w:rPr>
                    <w:t>1 ס"ח התשמ"ב, עמ' 180! התשמ"ח, עמ' .76</w:t>
                  </w:r>
                </w:p>
                <w:p w:rsidR="005370F0" w:rsidRPr="005370F0" w:rsidRDefault="005370F0">
                  <w:pPr>
                    <w:pStyle w:val="OCRStyle2"/>
                    <w:ind w:left="184"/>
                  </w:pPr>
                  <w:r>
                    <w:rPr>
                      <w:rtl/>
                    </w:rPr>
                    <w:t>4 ס"ח התשמ''ד, עמ' .164</w:t>
                  </w:r>
                </w:p>
              </w:txbxContent>
            </v:textbox>
            <w10:wrap anchorx="page" anchory="page"/>
          </v:shape>
        </w:pict>
      </w:r>
      <w:r>
        <w:pict>
          <v:shape id="_x0000_s38760" o:spid="_x0000_s1031" type="#_x0000_t202" style="position:absolute;left:0;text-align:left;margin-left:214.9pt;margin-top:387.95pt;width:78.2pt;height:30.5pt;z-index:8;mso-wrap-style:none;mso-position-horizontal-relative:page;mso-position-vertical-relative:page" stroked="f">
            <v:textbox style="mso-next-textbox:#_x0000_s38760" inset="0,0,0,0">
              <w:txbxContent>
                <w:p w:rsidR="005370F0" w:rsidRDefault="005370F0">
                  <w:pPr>
                    <w:pStyle w:val="OCRStyle2"/>
                    <w:ind w:left="216"/>
                    <w:rPr>
                      <w:rtl/>
                    </w:rPr>
                  </w:pPr>
                  <w:r>
                    <w:rPr>
                      <w:rtl/>
                    </w:rPr>
                    <w:t>שמעון פרס</w:t>
                  </w:r>
                </w:p>
                <w:p w:rsidR="005370F0" w:rsidRDefault="005370F0">
                  <w:pPr>
                    <w:pStyle w:val="OCRStyle2"/>
                    <w:ind w:left="349"/>
                  </w:pPr>
                  <w:r>
                    <w:rPr>
                      <w:rtl/>
                    </w:rPr>
                    <w:t>שר האוצר</w:t>
                  </w:r>
                </w:p>
              </w:txbxContent>
            </v:textbox>
            <w10:wrap anchorx="page" anchory="page"/>
          </v:shape>
        </w:pict>
      </w:r>
      <w:r>
        <w:pict>
          <v:shape id="_x0000_s38761" o:spid="_x0000_s1032" type="#_x0000_t202" style="position:absolute;left:0;text-align:left;margin-left:339.85pt;margin-top:387.95pt;width:74.85pt;height:29.7pt;z-index:7;mso-wrap-style:none;mso-position-horizontal-relative:page;mso-position-vertical-relative:page" stroked="f">
            <v:textbox style="mso-next-textbox:#_x0000_s38761" inset="0,0,0,0">
              <w:txbxContent>
                <w:p w:rsidR="005370F0" w:rsidRDefault="005370F0">
                  <w:pPr>
                    <w:pStyle w:val="OCRStyle2"/>
                    <w:ind w:left="227"/>
                    <w:rPr>
                      <w:rtl/>
                    </w:rPr>
                  </w:pPr>
                  <w:r>
                    <w:rPr>
                      <w:rtl/>
                    </w:rPr>
                    <w:t>יצחק שמיר</w:t>
                  </w:r>
                </w:p>
                <w:p w:rsidR="005370F0" w:rsidRDefault="005370F0">
                  <w:pPr>
                    <w:pStyle w:val="OCRStyle2"/>
                    <w:ind w:left="212"/>
                  </w:pPr>
                  <w:r>
                    <w:rPr>
                      <w:rtl/>
                    </w:rPr>
                    <w:t>ראש הממשלה</w:t>
                  </w:r>
                </w:p>
              </w:txbxContent>
            </v:textbox>
            <w10:wrap anchorx="page" anchory="page"/>
          </v:shape>
        </w:pict>
      </w:r>
      <w:r>
        <w:pict>
          <v:shape id="_x0000_s38762" o:spid="_x0000_s1033" type="#_x0000_t202" style="position:absolute;left:0;text-align:left;margin-left:448.75pt;margin-top:406.75pt;width:82.95pt;height:36.85pt;z-index:6;mso-wrap-style:none;mso-position-horizontal-relative:page;mso-position-vertical-relative:page" stroked="f">
            <v:textbox style="mso-next-textbox:#_x0000_s38762" inset="0,0,0,0">
              <w:txbxContent>
                <w:p w:rsidR="005370F0" w:rsidRDefault="005370F0">
                  <w:pPr>
                    <w:pStyle w:val="OCRStyle2"/>
                    <w:ind w:left="169"/>
                    <w:rPr>
                      <w:rtl/>
                    </w:rPr>
                  </w:pPr>
                  <w:r>
                    <w:rPr>
                      <w:rtl/>
                    </w:rPr>
                    <w:t>חיים הרצוג</w:t>
                  </w:r>
                </w:p>
                <w:p w:rsidR="005370F0" w:rsidRDefault="005370F0">
                  <w:pPr>
                    <w:pStyle w:val="OCRStyle2"/>
                    <w:ind w:left="220"/>
                  </w:pPr>
                  <w:r>
                    <w:rPr>
                      <w:rtl/>
                    </w:rPr>
                    <w:t>נשיא המדינה</w:t>
                  </w:r>
                </w:p>
              </w:txbxContent>
            </v:textbox>
            <w10:wrap anchorx="page" anchory="page"/>
          </v:shape>
        </w:pict>
      </w:r>
      <w:r>
        <w:pict>
          <v:shape id="_x0000_s38763" o:spid="_x0000_s1034" type="#_x0000_t202" style="position:absolute;left:0;text-align:left;margin-left:107.8pt;margin-top:63pt;width:457.95pt;height:324.9pt;z-index:5;mso-wrap-style:none;mso-position-horizontal-relative:page;mso-position-vertical-relative:page" stroked="f">
            <v:textbox style="mso-next-textbox:#_x0000_s38763" inset="0,0,0,0">
              <w:txbxContent>
                <w:tbl>
                  <w:tblPr>
                    <w:tblW w:w="4885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278"/>
                    <w:gridCol w:w="5832"/>
                    <w:gridCol w:w="1217"/>
                  </w:tblGrid>
                  <w:tr w:rsidR="005370F0" w:rsidRPr="005370F0">
                    <w:trPr>
                      <w:jc w:val="right"/>
                    </w:trPr>
                    <w:tc>
                      <w:tcPr>
                        <w:tcW w:w="767" w:type="pct"/>
                      </w:tcPr>
                      <w:p w:rsidR="005370F0" w:rsidRPr="005370F0" w:rsidRDefault="005370F0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הוספת סעיפים</w:t>
                        </w:r>
                      </w:p>
                    </w:tc>
                    <w:tc>
                      <w:tcPr>
                        <w:tcW w:w="4233" w:type="pct"/>
                        <w:gridSpan w:val="2"/>
                      </w:tcPr>
                      <w:p w:rsidR="005370F0" w:rsidRPr="005370F0" w:rsidRDefault="005370F0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2. אחרי סעיף 5 לחוק העיקרי יבוא:</w:t>
                        </w:r>
                      </w:p>
                    </w:tc>
                  </w:tr>
                  <w:tr w:rsidR="005370F0" w:rsidRPr="005370F0">
                    <w:trPr>
                      <w:jc w:val="right"/>
                    </w:trPr>
                    <w:tc>
                      <w:tcPr>
                        <w:tcW w:w="767" w:type="pct"/>
                      </w:tcPr>
                      <w:p w:rsidR="005370F0" w:rsidRPr="005370F0" w:rsidRDefault="005370F0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5א ו-5ב</w:t>
                        </w:r>
                      </w:p>
                    </w:tc>
                    <w:tc>
                      <w:tcPr>
                        <w:tcW w:w="3502" w:type="pct"/>
                      </w:tcPr>
                      <w:p w:rsidR="005370F0" w:rsidRDefault="005370F0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5א. על אף האמור בחוקים המצויינים בתוספת הראשונה, מילווה לפי אחד</w:t>
                        </w:r>
                      </w:p>
                      <w:p w:rsidR="005370F0" w:rsidRDefault="005370F0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מחוקים אלה יהיה ניתן להעברה לבן-זוגו של בעל המילווה או לילדיהם, על פי</w:t>
                        </w:r>
                      </w:p>
                      <w:p w:rsidR="005370F0" w:rsidRDefault="005370F0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פסק דין לגירושין של בית משפט או של בית דין מוסמך.</w:t>
                        </w:r>
                      </w:p>
                    </w:tc>
                    <w:tc>
                      <w:tcPr>
                        <w:tcW w:w="731" w:type="pct"/>
                      </w:tcPr>
                      <w:p w:rsidR="005370F0" w:rsidRDefault="005370F0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"העברה עקב</w:t>
                        </w:r>
                      </w:p>
                      <w:p w:rsidR="005370F0" w:rsidRPr="005370F0" w:rsidRDefault="005370F0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גירושין</w:t>
                        </w:r>
                      </w:p>
                    </w:tc>
                  </w:tr>
                  <w:tr w:rsidR="005370F0" w:rsidRPr="005370F0">
                    <w:trPr>
                      <w:jc w:val="right"/>
                    </w:trPr>
                    <w:tc>
                      <w:tcPr>
                        <w:tcW w:w="767" w:type="pct"/>
                      </w:tcPr>
                      <w:p w:rsidR="005370F0" w:rsidRDefault="005370F0">
                        <w:pPr>
                          <w:pStyle w:val="OCRStyle2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3502" w:type="pct"/>
                      </w:tcPr>
                      <w:p w:rsidR="005370F0" w:rsidRDefault="005370F0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5ב. על אף האמור בכל אחד מהחוקים המצויינים בתוספת הראשונה, שנת מס</w:t>
                        </w:r>
                      </w:p>
                      <w:p w:rsidR="005370F0" w:rsidRDefault="005370F0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לענין חוקים אלה תהא תקופה של שנים-עשר חדשים שתחילתה ב-1 באפריל</w:t>
                        </w:r>
                      </w:p>
                      <w:p w:rsidR="005370F0" w:rsidRDefault="005370F0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של כל שנה."</w:t>
                        </w:r>
                      </w:p>
                    </w:tc>
                    <w:tc>
                      <w:tcPr>
                        <w:tcW w:w="731" w:type="pct"/>
                      </w:tcPr>
                      <w:p w:rsidR="005370F0" w:rsidRDefault="005370F0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אי-תחולת</w:t>
                        </w:r>
                      </w:p>
                      <w:p w:rsidR="005370F0" w:rsidRPr="005370F0" w:rsidRDefault="005370F0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שינוי שנת מס</w:t>
                        </w:r>
                      </w:p>
                    </w:tc>
                  </w:tr>
                  <w:tr w:rsidR="005370F0" w:rsidRPr="005370F0">
                    <w:trPr>
                      <w:jc w:val="right"/>
                    </w:trPr>
                    <w:tc>
                      <w:tcPr>
                        <w:tcW w:w="767" w:type="pct"/>
                      </w:tcPr>
                      <w:p w:rsidR="005370F0" w:rsidRDefault="005370F0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התוססת</w:t>
                        </w:r>
                      </w:p>
                      <w:p w:rsidR="005370F0" w:rsidRPr="005370F0" w:rsidRDefault="005370F0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הראשונה</w:t>
                        </w:r>
                      </w:p>
                    </w:tc>
                    <w:tc>
                      <w:tcPr>
                        <w:tcW w:w="4233" w:type="pct"/>
                        <w:gridSpan w:val="2"/>
                      </w:tcPr>
                      <w:p w:rsidR="005370F0" w:rsidRDefault="005370F0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3. בתוספת הראשונה לחוק העיקרי, בסופה יבוא:</w:t>
                        </w:r>
                      </w:p>
                      <w:p w:rsidR="005370F0" w:rsidRDefault="005370F0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"24. חוק מילוות חסכון, התשל"ו-1976 2;</w:t>
                        </w:r>
                      </w:p>
                      <w:p w:rsidR="005370F0" w:rsidRDefault="005370F0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25. חוק למימון מבצע שלום הגליל, התשמ"ב-1982 3;</w:t>
                        </w:r>
                      </w:p>
                      <w:p w:rsidR="005370F0" w:rsidRPr="005370F0" w:rsidRDefault="005370F0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26. חוק מילווה בטחון (הארכה מרצון), התשמ"ד-41984".</w:t>
                        </w:r>
                      </w:p>
                    </w:tc>
                  </w:tr>
                  <w:tr w:rsidR="005370F0" w:rsidRPr="005370F0">
                    <w:trPr>
                      <w:jc w:val="right"/>
                    </w:trPr>
                    <w:tc>
                      <w:tcPr>
                        <w:tcW w:w="767" w:type="pct"/>
                      </w:tcPr>
                      <w:p w:rsidR="005370F0" w:rsidRDefault="005370F0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חוקי</w:t>
                        </w:r>
                      </w:p>
                      <w:p w:rsidR="005370F0" w:rsidRPr="005370F0" w:rsidRDefault="005370F0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מיליות</w:t>
                        </w:r>
                      </w:p>
                    </w:tc>
                    <w:tc>
                      <w:tcPr>
                        <w:tcW w:w="4233" w:type="pct"/>
                        <w:gridSpan w:val="2"/>
                      </w:tcPr>
                      <w:p w:rsidR="005370F0" w:rsidRDefault="005370F0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4. בסעיף 7(ב) לכל אחד מהחוקים המצויינים בפרטים 9 עד 12 לתוספת הראשונה ובסעיף</w:t>
                        </w:r>
                      </w:p>
                      <w:p w:rsidR="005370F0" w:rsidRDefault="005370F0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7(ד) לחוק המצויין בפרט 14 לאותה תוספת -</w:t>
                        </w:r>
                      </w:p>
                      <w:p w:rsidR="005370F0" w:rsidRDefault="005370F0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אחרי "יחיד" יבוא "בעל מילווה";</w:t>
                        </w:r>
                      </w:p>
                      <w:p w:rsidR="005370F0" w:rsidRPr="005370F0" w:rsidRDefault="005370F0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המלה "ששילם" - תימחק.</w:t>
                        </w:r>
                      </w:p>
                    </w:tc>
                  </w:tr>
                  <w:tr w:rsidR="005370F0" w:rsidRPr="005370F0">
                    <w:trPr>
                      <w:jc w:val="right"/>
                    </w:trPr>
                    <w:tc>
                      <w:tcPr>
                        <w:tcW w:w="767" w:type="pct"/>
                      </w:tcPr>
                      <w:p w:rsidR="005370F0" w:rsidRPr="005370F0" w:rsidRDefault="005370F0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תחילה</w:t>
                        </w:r>
                      </w:p>
                    </w:tc>
                    <w:tc>
                      <w:tcPr>
                        <w:tcW w:w="4233" w:type="pct"/>
                        <w:gridSpan w:val="2"/>
                      </w:tcPr>
                      <w:p w:rsidR="005370F0" w:rsidRDefault="005370F0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5. (א) תחילתו של סעיף 5ב כנוסחו בסעיף 2 ביום ל' בכסלו התשמ"ז (1 בינואר 1987).</w:t>
                        </w:r>
                      </w:p>
                      <w:p w:rsidR="005370F0" w:rsidRPr="005370F0" w:rsidRDefault="005370F0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תחילתו של סעיף 3 ביום כ"ו בניסן התשמ"ט (1 במאי 1989).</w:t>
                        </w:r>
                      </w:p>
                    </w:tc>
                  </w:tr>
                </w:tbl>
                <w:p w:rsidR="005370F0" w:rsidRDefault="005370F0">
                  <w:pPr>
                    <w:pStyle w:val="OCRStyle2"/>
                  </w:pPr>
                </w:p>
              </w:txbxContent>
            </v:textbox>
            <w10:wrap anchorx="page" anchory="page"/>
          </v:shape>
        </w:pict>
      </w:r>
    </w:p>
    <w:p w:rsidR="003D24B9" w:rsidRDefault="003D24B9">
      <w:bookmarkStart w:id="0" w:name="_PictureBullets"/>
      <w:bookmarkEnd w:id="0"/>
    </w:p>
    <w:sectPr w:rsidR="003D24B9" w:rsidSect="00AE6E67">
      <w:pgSz w:w="11907" w:h="16839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000000" w:rsidRDefault="00000000">
      <w:r>
        <w:separator/>
      </w:r>
    </w:p>
  </w:endnote>
  <w:endnote w:type="continuationSeparator" w:id="0">
    <w:p w:rsidR="00000000" w:rsidRDefault="000000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000000" w:rsidRDefault="00000000">
      <w:r>
        <w:separator/>
      </w:r>
    </w:p>
  </w:footnote>
  <w:footnote w:type="continuationSeparator" w:id="0">
    <w:p w:rsidR="00000000" w:rsidRDefault="0000000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stylePaneSortMethod w:val="0000"/>
  <w:doNotTrackMoves/>
  <w:defaultTabStop w:val="720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AE6E67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18F5BE97-34CB-4A37-B42E-6DA74C33DF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  <w:rPr>
      <w:sz w:val="24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</w:style>
  <w:style w:type="numbering" w:default="1" w:styleId="a2">
    <w:name w:val="No List"/>
    <w:semiHidden/>
  </w:style>
  <w:style w:type="paragraph" w:customStyle="1" w:styleId="OCRStyle1">
    <w:name w:val="OCR Style #1"/>
    <w:basedOn w:val="a"/>
    <w:rsid w:val="00AE6E67"/>
    <w:rPr>
      <w:rFonts w:ascii="Arial" w:hAnsi="Arial" w:cs="Arial"/>
      <w:sz w:val="18"/>
      <w:szCs w:val="18"/>
    </w:rPr>
  </w:style>
  <w:style w:type="paragraph" w:customStyle="1" w:styleId="OCRStyle2">
    <w:name w:val="OCR Style #2"/>
    <w:basedOn w:val="a"/>
    <w:rsid w:val="005370F0"/>
    <w:rPr>
      <w:rFonts w:ascii="Arial" w:hAnsi="Arial" w:cs="Arial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</Words>
  <Characters>14</Characters>
  <Application>Microsoft Office Word</Application>
  <DocSecurity>4</DocSecurity>
  <Lines>1</Lines>
  <Paragraphs>1</Paragraphs>
  <ScaleCrop>false</ScaleCrop>
  <Company/>
  <LinksUpToDate>false</LinksUpToDate>
  <CharactersWithSpaces>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sharp8</dc:creator>
  <cp:keywords/>
  <dc:description/>
  <cp:lastModifiedBy>sharp8</cp:lastModifiedBy>
  <cp:revision>3</cp:revision>
  <dcterms:created xsi:type="dcterms:W3CDTF">2008-04-07T03:22:00Z</dcterms:created>
  <dcterms:modified xsi:type="dcterms:W3CDTF">2008-04-07T03:22:00Z</dcterms:modified>
</cp:coreProperties>
</file>