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50F1" w:rsidRDefault="006150F1">
      <w:pPr>
        <w:rPr>
          <w:rtl/>
        </w:rPr>
      </w:pPr>
    </w:p>
    <w:p w:rsidR="006150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771" inset="0,0,0,0">
              <w:txbxContent>
                <w:p w:rsidR="006150F1" w:rsidRDefault="006150F1">
                  <w:r>
                    <w:rPr>
                      <w:rtl/>
                    </w:rPr>
                    <w:t>118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2" o:spid="_x0000_s1026" type="#_x0000_t202" style="position:absolute;left:0;text-align:left;margin-left:78pt;margin-top:483.8pt;width:391.65pt;height:42.95pt;z-index:6;mso-wrap-style:none;mso-position-horizontal-relative:page;mso-position-vertical-relative:page" stroked="f">
            <v:textbox style="mso-next-textbox:#_x0000_s38772" inset="0,0,0,0">
              <w:txbxContent>
                <w:p w:rsidR="006150F1" w:rsidRDefault="006150F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בניסן התש"ן (27 במרס 1)199): הצעת החוק ודברי הסבר פורסמו בהצעות חוק 1977, מיום כ''ה</w:t>
                  </w:r>
                </w:p>
                <w:p w:rsidR="006150F1" w:rsidRDefault="006150F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בשבט התש"ן (1)2 בפברואר (1991), עמ' 124.</w:t>
                  </w:r>
                </w:p>
                <w:p w:rsidR="006150F1" w:rsidRPr="006150F1" w:rsidRDefault="006150F1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ס"ח התשל''ג, עני' 267.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3" o:spid="_x0000_s1027" type="#_x0000_t202" style="position:absolute;left:0;text-align:left;margin-left:95.25pt;margin-top:407.2pt;width:92.85pt;height:36.05pt;z-index:5;mso-wrap-style:none;mso-position-horizontal-relative:page;mso-position-vertical-relative:page" stroked="f">
            <v:textbox style="mso-next-textbox:#_x0000_s38773" inset="0,0,0,0">
              <w:txbxContent>
                <w:p w:rsidR="006150F1" w:rsidRDefault="006150F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6150F1" w:rsidRDefault="006150F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4" o:spid="_x0000_s1028" type="#_x0000_t202" style="position:absolute;left:0;text-align:left;margin-left:207.9pt;margin-top:409.75pt;width:123.15pt;height:36.05pt;z-index:4;mso-wrap-style:none;mso-position-horizontal-relative:page;mso-position-vertical-relative:page" stroked="f">
            <v:textbox style="mso-next-textbox:#_x0000_s38774" inset="0,0,0,0">
              <w:txbxContent>
                <w:p w:rsidR="006150F1" w:rsidRDefault="006150F1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150F1" w:rsidRDefault="006150F1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5" o:spid="_x0000_s1029" type="#_x0000_t202" style="position:absolute;left:0;text-align:left;margin-left:355.2pt;margin-top:438.1pt;width:94.65pt;height:32.65pt;z-index:3;mso-wrap-style:none;mso-position-horizontal-relative:page;mso-position-vertical-relative:page" stroked="f">
            <v:textbox style="mso-next-textbox:#_x0000_s38775" inset="0,0,0,0">
              <w:txbxContent>
                <w:p w:rsidR="006150F1" w:rsidRDefault="006150F1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150F1" w:rsidRDefault="006150F1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6" o:spid="_x0000_s1030" type="#_x0000_t202" style="position:absolute;left:0;text-align:left;margin-left:86.55pt;margin-top:98.1pt;width:455.4pt;height:300.35pt;z-index:2;mso-wrap-style:none;mso-position-horizontal-relative:page;mso-position-vertical-relative:page" stroked="f">
            <v:textbox style="mso-next-textbox:#_x0000_s38776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5"/>
                    <w:gridCol w:w="1354"/>
                  </w:tblGrid>
                  <w:tr w:rsidR="006150F1" w:rsidRPr="006150F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6150F1" w:rsidRDefault="006150F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5(א) לחוק יחסי ממון בין בני זוג, התשל"ג-1973  1 (להלן - החוק העיקרי), במקום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יבוא: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גימלה המשתלמת לאחד מבני הזוג על-ידי המוסד לביטוח לאומי, או גימלה או</w:t>
                        </w:r>
                      </w:p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שנפסקו או המגיעים על פי חיקוק לאחד מבני-הזוג כשל נזק גוף, או מוות".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150F1" w:rsidRPr="006150F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6(ג) לחוק העיקרי יבוא: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בהחלטתו לפי סעיף קטן (ג) יתחשב בית-המשפט או בית-הדין בכל הנסיבות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במצבו הכלכלי של כל אחד מבני הזוג, ובאופן שימנע ככל האפשר -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גרימת אובדן מקור פרנסה סבירה לאחד מבני הזוג;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הפסקת קיומו או פגיעה בהמשך תיפקודו התקין של תאגיד או של מקום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אחר;</w:t>
                        </w:r>
                      </w:p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פגיעה בצבירת הזכויות הסוציאליות של אחד מבני הזוג."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150F1" w:rsidRPr="006150F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הוראות חוק זה יחולו על בני זוג שנישאו לאחר יום ו' בטבת התשל"ד (31 בדצמבר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0973, למעט בני-זוג שהחלו בהליכים לענין הסדר איזון משאבים ביניהם לפני תחילתו של חוק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עשו בני-זוג הסכם ממון לפני תחילתו של חוק זה, יראו אותם, בענינים שבהם</w:t>
                        </w:r>
                      </w:p>
                      <w:p w:rsid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אינו קובע אחרת, כמסכימים להסדר איזון המשאבים לפי הפרק השני כתיקונו בחוק זה,</w:t>
                        </w:r>
                      </w:p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החליט בית-המשפט אחרת בענינים האמורים.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6150F1" w:rsidRPr="006150F1" w:rsidRDefault="00615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6150F1" w:rsidRDefault="006150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77" o:spid="_x0000_s1031" type="#_x0000_t202" style="position:absolute;left:0;text-align:left;margin-left:138.2pt;margin-top:80.9pt;width:276.4pt;height:16.45pt;z-index:1;mso-wrap-style:none;mso-position-horizontal-relative:page;mso-position-vertical-relative:page" stroked="f">
            <v:textbox style="mso-next-textbox:#_x0000_s38777" inset="0,0,0,0">
              <w:txbxContent>
                <w:p w:rsidR="006150F1" w:rsidRPr="006150F1" w:rsidRDefault="006150F1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יחסי ממון בין בני זוג (תיקון),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50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DF6B17-65CD-4C8F-8C91-1C688E37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50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