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710CC" w:rsidRDefault="009710CC">
      <w:pPr>
        <w:rPr>
          <w:rtl/>
        </w:rPr>
      </w:pPr>
    </w:p>
    <w:p w:rsidR="009710C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85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857" inset="0,0,0,0">
              <w:txbxContent>
                <w:p w:rsidR="009710CC" w:rsidRDefault="009710CC">
                  <w:r>
                    <w:rPr>
                      <w:rtl/>
                    </w:rPr>
                    <w:t>56                                          ספר החוקים 1275                  כ"ה באייר התשמ"ט 30.05.1989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58" o:spid="_x0000_s1026" type="#_x0000_t202" style="position:absolute;left:0;text-align:left;margin-left:75.2pt;margin-top:372.85pt;width:419.15pt;height:51.3pt;z-index:6;mso-wrap-style:none;mso-position-horizontal-relative:page;mso-position-vertical-relative:page" stroked="f">
            <v:textbox style="mso-next-textbox:#_x0000_s38858" inset="0,0,0,0">
              <w:txbxContent>
                <w:p w:rsidR="009710CC" w:rsidRDefault="009710CC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* נתקכל ככנסת כיום י"ח באייר התשמ"ט (23 במאי 1989); הגעת החוק ודברי הסבר פורסמו כהצעות חוק 1929,</w:t>
                  </w:r>
                </w:p>
                <w:p w:rsidR="009710CC" w:rsidRDefault="009710CC">
                  <w:pPr>
                    <w:pStyle w:val="OCRStyle1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מיום ו' באייר התשמ"ט (15 במאי 1989).</w:t>
                  </w:r>
                </w:p>
                <w:p w:rsidR="009710CC" w:rsidRPr="009710CC" w:rsidRDefault="009710CC">
                  <w:pPr>
                    <w:pStyle w:val="OCRStyle1"/>
                    <w:ind w:left="504"/>
                  </w:pPr>
                  <w:r>
                    <w:rPr>
                      <w:rtl/>
                    </w:rPr>
                    <w:t>י ס"ח התשמ"ח, עמ' 144: התשמ"ט, עמ' 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59" o:spid="_x0000_s1027" type="#_x0000_t202" style="position:absolute;left:0;text-align:left;margin-left:113pt;margin-top:293.65pt;width:98.2pt;height:40.4pt;z-index:5;mso-wrap-style:none;mso-position-horizontal-relative:page;mso-position-vertical-relative:page" stroked="f">
            <v:textbox style="mso-next-textbox:#_x0000_s38859" inset="0,0,0,0">
              <w:txbxContent>
                <w:p w:rsidR="009710CC" w:rsidRDefault="009710CC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9710CC" w:rsidRDefault="009710CC">
                  <w:pPr>
                    <w:pStyle w:val="OCRStyle1"/>
                    <w:ind w:left="63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60" o:spid="_x0000_s1028" type="#_x0000_t202" style="position:absolute;left:0;text-align:left;margin-left:241.7pt;margin-top:290.3pt;width:88.3pt;height:39.6pt;z-index:4;mso-wrap-style:none;mso-position-horizontal-relative:page;mso-position-vertical-relative:page" stroked="f">
            <v:textbox style="mso-next-textbox:#_x0000_s38860" inset="0,0,0,0">
              <w:txbxContent>
                <w:p w:rsidR="009710CC" w:rsidRDefault="009710CC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710CC" w:rsidRDefault="009710CC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61" o:spid="_x0000_s1029" type="#_x0000_t202" style="position:absolute;left:0;text-align:left;margin-left:355.75pt;margin-top:320.95pt;width:114.65pt;height:31.3pt;z-index:3;mso-wrap-style:none;mso-position-horizontal-relative:page;mso-position-vertical-relative:page" stroked="f">
            <v:textbox style="mso-next-textbox:#_x0000_s38861" inset="0,0,0,0">
              <w:txbxContent>
                <w:p w:rsidR="009710CC" w:rsidRDefault="009710CC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710CC" w:rsidRDefault="009710CC">
                  <w:pPr>
                    <w:pStyle w:val="OCRStyle1"/>
                    <w:ind w:left="60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62" o:spid="_x0000_s1030" type="#_x0000_t202" style="position:absolute;left:0;text-align:left;margin-left:93.2pt;margin-top:108.9pt;width:462.9pt;height:177.4pt;z-index:2;mso-wrap-style:none;mso-position-horizontal-relative:page;mso-position-vertical-relative:page" stroked="f">
            <v:textbox style="mso-next-textbox:#_x0000_s38862" inset="0,0,0,0">
              <w:txbxContent>
                <w:tbl>
                  <w:tblPr>
                    <w:tblW w:w="49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43"/>
                    <w:gridCol w:w="1473"/>
                  </w:tblGrid>
                  <w:tr w:rsidR="009710CC" w:rsidRPr="009710CC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9710CC" w:rsidRDefault="009710C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36 לחוק התכנון והבניה (תיקון מסי 26), התשמ"ח-1988 1 (להלן - החוק המתקן),</w:t>
                        </w:r>
                      </w:p>
                      <w:p w:rsidR="009710CC" w:rsidRPr="009710CC" w:rsidRDefault="0097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פיסקה (2) - כטלה.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9710CC" w:rsidRPr="009710CC" w:rsidRDefault="0097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</w:t>
                        </w:r>
                      </w:p>
                    </w:tc>
                  </w:tr>
                  <w:tr w:rsidR="009710CC" w:rsidRPr="009710CC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9710CC" w:rsidRDefault="0097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האמור כסעיף 52 לחוק המתקן יסומן (ג) ולפניו יבוא:</w:t>
                        </w:r>
                      </w:p>
                      <w:p w:rsidR="009710CC" w:rsidRDefault="0097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בקשה למתן היתר, הקלה או שימוש חורג, או ערר לפי פרק הי לחוק העיקרי,</w:t>
                        </w:r>
                      </w:p>
                      <w:p w:rsidR="009710CC" w:rsidRDefault="0097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שהוגשו לפני תחילתו של חוק זה, ימשיכו לדון בהם על פי הוראות החוק העיקרי כנוסחו</w:t>
                        </w:r>
                      </w:p>
                      <w:p w:rsidR="009710CC" w:rsidRDefault="0097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תחילתו של חוק זה.</w:t>
                        </w:r>
                      </w:p>
                      <w:p w:rsidR="009710CC" w:rsidRDefault="0097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סעיפים 22, 24 ו-28 לחוק זה לא יחולו על תכניות שהופקדו לפני תחילתו, ויחולו</w:t>
                        </w:r>
                      </w:p>
                      <w:p w:rsidR="009710CC" w:rsidRDefault="0097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עליהן הוראות סעיפים 108, 109, 112, 113 ו-134 לחוק העיקרי כנוסחן לפני תחילתו של</w:t>
                        </w:r>
                      </w:p>
                      <w:p w:rsidR="009710CC" w:rsidRPr="009710CC" w:rsidRDefault="0097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זה."</w:t>
                        </w:r>
                      </w:p>
                    </w:tc>
                    <w:tc>
                      <w:tcPr>
                        <w:tcW w:w="875" w:type="pct"/>
                      </w:tcPr>
                      <w:p w:rsidR="009710CC" w:rsidRPr="009710CC" w:rsidRDefault="0097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52</w:t>
                        </w:r>
                      </w:p>
                    </w:tc>
                  </w:tr>
                  <w:tr w:rsidR="009710CC" w:rsidRPr="009710CC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9710CC" w:rsidRPr="009710CC" w:rsidRDefault="0097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תחילתו של החוק המתקן.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9710CC" w:rsidRPr="009710CC" w:rsidRDefault="0097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710CC" w:rsidRDefault="009710C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863" o:spid="_x0000_s1031" type="#_x0000_t202" style="position:absolute;left:0;text-align:left;margin-left:118.95pt;margin-top:86.55pt;width:338.2pt;height:20.8pt;z-index:1;mso-wrap-style:none;mso-position-horizontal-relative:page;mso-position-vertical-relative:page" stroked="f">
            <v:textbox style="mso-next-textbox:#_x0000_s38863" inset="0,0,0,0">
              <w:txbxContent>
                <w:p w:rsidR="009710CC" w:rsidRPr="009710CC" w:rsidRDefault="009710CC">
                  <w:pPr>
                    <w:pStyle w:val="OCRStyle1"/>
                    <w:ind w:left="44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התכנון והבניה (תיקון מס' 26) (תיקון), התשמ"ט-1989*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710C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61166F3-910A-4931-9F9B-53CD37F0D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710C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2008-04-07T03:22:00Z</dcterms:created>
  <dcterms:modified xsi:type="dcterms:W3CDTF">2008-04-07T03:22:00Z</dcterms:modified>
</cp:coreProperties>
</file>