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476B4" w:rsidRDefault="00F476B4">
      <w:pPr>
        <w:rPr>
          <w:rtl/>
        </w:rPr>
      </w:pPr>
    </w:p>
    <w:p w:rsidR="00F476B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95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8957" inset="0,0,0,0">
              <w:txbxContent>
                <w:p w:rsidR="00F476B4" w:rsidRDefault="00F476B4">
                  <w:r>
                    <w:rPr>
                      <w:rtl/>
                    </w:rPr>
                    <w:t>108                                         ספר החוקים 1310                    כ"ה באדר התש"נ 22.03.1990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58" o:spid="_x0000_s1026" type="#_x0000_t202" style="position:absolute;left:0;text-align:left;margin-left:91.75pt;margin-top:705.85pt;width:160.95pt;height:26.75pt;z-index:7;mso-wrap-style:none;mso-position-horizontal-relative:page;mso-position-vertical-relative:page" stroked="f">
            <v:textbox style="mso-next-textbox:#_x0000_s38958" inset="0,0,0,0">
              <w:txbxContent>
                <w:p w:rsidR="00F476B4" w:rsidRDefault="00F476B4">
                  <w:pPr>
                    <w:pStyle w:val="OCRStyle1"/>
                    <w:rPr>
                      <w:rtl/>
                    </w:rPr>
                  </w:pPr>
                </w:p>
                <w:p w:rsidR="00F476B4" w:rsidRDefault="00F476B4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סודר בסדר-צילום, 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59" o:spid="_x0000_s1027" type="#_x0000_t202" style="position:absolute;left:0;text-align:left;margin-left:89.2pt;margin-top:668.85pt;width:387.5pt;height:37.05pt;z-index:6;mso-wrap-style:none;mso-position-horizontal-relative:page;mso-position-vertical-relative:page" stroked="f">
            <v:textbox style="mso-next-textbox:#_x0000_s38959" inset="0,0,0,0">
              <w:txbxContent>
                <w:p w:rsidR="00F476B4" w:rsidRDefault="00F476B4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ט"ז באדר התש"ן (13 במרס 1990) ;הצעת החוק ודברי הסבר פורסמו בהצעות חוק 1960, מיום י"ג</w:t>
                  </w:r>
                </w:p>
                <w:p w:rsidR="00F476B4" w:rsidRDefault="00F476B4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בכסלו התש"ן (11 בדצמבר 1989), בעמ' 28.</w:t>
                  </w:r>
                </w:p>
                <w:p w:rsidR="00F476B4" w:rsidRPr="00F476B4" w:rsidRDefault="00F476B4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1 ס"ח התשמ"ד, עמ' 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60" o:spid="_x0000_s1028" type="#_x0000_t202" style="position:absolute;left:0;text-align:left;margin-left:115.9pt;margin-top:603.5pt;width:74.05pt;height:36.25pt;z-index:5;mso-wrap-style:none;mso-position-horizontal-relative:page;mso-position-vertical-relative:page" stroked="f">
            <v:textbox style="mso-next-textbox:#_x0000_s38960" inset="0,0,0,0">
              <w:txbxContent>
                <w:p w:rsidR="00F476B4" w:rsidRDefault="00F476B4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476B4" w:rsidRDefault="00F476B4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61" o:spid="_x0000_s1029" type="#_x0000_t202" style="position:absolute;left:0;text-align:left;margin-left:250.15pt;margin-top:602.7pt;width:73.25pt;height:37.05pt;z-index:4;mso-wrap-style:none;mso-position-horizontal-relative:page;mso-position-vertical-relative:page" stroked="f">
            <v:textbox style="mso-next-textbox:#_x0000_s38961" inset="0,0,0,0">
              <w:txbxContent>
                <w:p w:rsidR="00F476B4" w:rsidRDefault="00F476B4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476B4" w:rsidRDefault="00F476B4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62" o:spid="_x0000_s1030" type="#_x0000_t202" style="position:absolute;left:0;text-align:left;margin-left:374.1pt;margin-top:632pt;width:79.2pt;height:30.9pt;z-index:3;mso-wrap-style:none;mso-position-horizontal-relative:page;mso-position-vertical-relative:page" stroked="f">
            <v:textbox style="mso-next-textbox:#_x0000_s38962" inset="0,0,0,0">
              <w:txbxContent>
                <w:p w:rsidR="00F476B4" w:rsidRDefault="00F476B4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476B4" w:rsidRDefault="00F476B4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63" o:spid="_x0000_s1031" type="#_x0000_t202" style="position:absolute;left:0;text-align:left;margin-left:94.35pt;margin-top:103.35pt;width:448.65pt;height:489.85pt;z-index:2;mso-wrap-style:none;mso-position-horizontal-relative:page;mso-position-vertical-relative:page" stroked="f">
            <v:textbox style="mso-next-textbox:#_x0000_s38963" inset="0,0,0,0">
              <w:txbxContent>
                <w:tbl>
                  <w:tblPr>
                    <w:tblW w:w="47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0"/>
                    <w:gridCol w:w="1213"/>
                    <w:gridCol w:w="1227"/>
                  </w:tblGrid>
                  <w:tr w:rsidR="00F476B4" w:rsidRPr="00F476B4">
                    <w:trPr>
                      <w:jc w:val="right"/>
                    </w:trPr>
                    <w:tc>
                      <w:tcPr>
                        <w:tcW w:w="4248" w:type="pct"/>
                        <w:gridSpan w:val="2"/>
                      </w:tcPr>
                      <w:p w:rsidR="00F476B4" w:rsidRDefault="00F476B4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2 לחוק הקיצבאות (פיצוי בעד. איחור בתשלום), התשמ"ד-1984 1(להלן - החוק</w:t>
                        </w:r>
                      </w:p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(2), במקום "24 חדשים" יבוא "10 שנים";</w:t>
                        </w:r>
                      </w:p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(3), במקום "24 חדשים" יבוא "10 שנים" ובמקום "24 החדשים"</w:t>
                        </w:r>
                      </w:p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"10 השנים".</w:t>
                        </w:r>
                      </w:p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קיצבה המשולמת בעד תקופה שקדמה ליום ה תביעה יחולו הוראות</w:t>
                        </w:r>
                      </w:p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התקופה האמורה היא 12 חדשים או פחות - תשולם הקיצבה</w:t>
                        </w:r>
                      </w:p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המעודכן;</w:t>
                        </w:r>
                      </w:p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התקופה האמורה עולה על 12 חדשים - תשולם הקיצבה בשיעור</w:t>
                        </w:r>
                      </w:p>
                      <w:p w:rsidR="00F476B4" w:rsidRP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המעודכן בעד 12 חדשים וכשיעור המקורי בעד יתרת התקופה."</w:t>
                        </w:r>
                      </w:p>
                    </w:tc>
                    <w:tc>
                      <w:tcPr>
                        <w:tcW w:w="752" w:type="pct"/>
                      </w:tcPr>
                      <w:p w:rsidR="00F476B4" w:rsidRP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F476B4" w:rsidRPr="00F476B4">
                    <w:trPr>
                      <w:jc w:val="right"/>
                    </w:trPr>
                    <w:tc>
                      <w:tcPr>
                        <w:tcW w:w="4248" w:type="pct"/>
                        <w:gridSpan w:val="2"/>
                      </w:tcPr>
                      <w:p w:rsidR="00F476B4" w:rsidRP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3 לחוק העיקרי יבוא:</w:t>
                        </w:r>
                      </w:p>
                    </w:tc>
                    <w:tc>
                      <w:tcPr>
                        <w:tcW w:w="752" w:type="pct"/>
                      </w:tcPr>
                      <w:p w:rsidR="00F476B4" w:rsidRP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</w:t>
                        </w:r>
                      </w:p>
                    </w:tc>
                  </w:tr>
                  <w:tr w:rsidR="00F476B4">
                    <w:trPr>
                      <w:jc w:val="right"/>
                    </w:trPr>
                    <w:tc>
                      <w:tcPr>
                        <w:tcW w:w="3505" w:type="pct"/>
                      </w:tcPr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על אף האמור בסעיף 2 -</w:t>
                        </w:r>
                      </w:p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התביעה הוגשה לאחר שחלפו שנתיים מן המועד להגשת תביעה</w:t>
                        </w:r>
                      </w:p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בחוק שבתוספת, ייקראו פסקאות (2) ו-(3) שבסעיף 2(א) כאילו</w:t>
                        </w:r>
                      </w:p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"10 שנים" נאמר בכל מקום "שנתיים";</w:t>
                        </w:r>
                      </w:p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התביעה הוגשה לפני שחלפו שנתיים מהמועד להגשת תביעה</w:t>
                        </w:r>
                      </w:p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בחוק שבתוספת, אך במשך חמש שנים מיום התביעה לא נמסרו</w:t>
                        </w:r>
                      </w:p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המוסמכת הידיעות והמסמכים הדרושים להחלטה בתביעה,</w:t>
                        </w:r>
                      </w:p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ייקראו פסקאות (2) ו-(3) שבסעיף 2(א) כאילו במקום "10 שנים" נאמר</w:t>
                        </w:r>
                      </w:p>
                      <w:p w:rsidR="00F476B4" w:rsidRP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מקום "חמש שנים"."</w:t>
                        </w:r>
                      </w:p>
                    </w:tc>
                    <w:tc>
                      <w:tcPr>
                        <w:tcW w:w="743" w:type="pct"/>
                      </w:tcPr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"חישוב קיצבה</w:t>
                        </w:r>
                      </w:p>
                      <w:p w:rsidR="00F476B4" w:rsidRP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כמקרים מיוחדים</w:t>
                        </w:r>
                      </w:p>
                    </w:tc>
                    <w:tc>
                      <w:tcPr>
                        <w:tcW w:w="752" w:type="pct"/>
                      </w:tcPr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476B4" w:rsidRPr="00F476B4">
                    <w:trPr>
                      <w:jc w:val="right"/>
                    </w:trPr>
                    <w:tc>
                      <w:tcPr>
                        <w:tcW w:w="4248" w:type="pct"/>
                        <w:gridSpan w:val="2"/>
                      </w:tcPr>
                      <w:p w:rsidR="00F476B4" w:rsidRP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3 לחוק העיקרי יבוא:</w:t>
                        </w:r>
                      </w:p>
                    </w:tc>
                    <w:tc>
                      <w:tcPr>
                        <w:tcW w:w="752" w:type="pct"/>
                      </w:tcPr>
                      <w:p w:rsidR="00F476B4" w:rsidRP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3א</w:t>
                        </w:r>
                      </w:p>
                    </w:tc>
                  </w:tr>
                  <w:tr w:rsidR="00F476B4">
                    <w:trPr>
                      <w:jc w:val="right"/>
                    </w:trPr>
                    <w:tc>
                      <w:tcPr>
                        <w:tcW w:w="3505" w:type="pct"/>
                      </w:tcPr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קבע בית משפט או בית דין כי הרשות המוסמכת גרמה בשרירות ושלא</w:t>
                        </w:r>
                      </w:p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לב לאיחור בתשלום הקיצבה, רשאי הוא לפסוק כי הקיצבה תשולם</w:t>
                        </w:r>
                      </w:p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המעודכן אף בעד תקופות ארוכות יותר מן הקבוע בסעיפים 2 ו-3."</w:t>
                        </w:r>
                      </w:p>
                    </w:tc>
                    <w:tc>
                      <w:tcPr>
                        <w:tcW w:w="743" w:type="pct"/>
                      </w:tcPr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"עיכוב שלא</w:t>
                        </w:r>
                      </w:p>
                      <w:p w:rsidR="00F476B4" w:rsidRP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כתום לב</w:t>
                        </w:r>
                      </w:p>
                    </w:tc>
                    <w:tc>
                      <w:tcPr>
                        <w:tcW w:w="752" w:type="pct"/>
                      </w:tcPr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476B4" w:rsidRPr="00F476B4">
                    <w:trPr>
                      <w:jc w:val="right"/>
                    </w:trPr>
                    <w:tc>
                      <w:tcPr>
                        <w:tcW w:w="4248" w:type="pct"/>
                        <w:gridSpan w:val="2"/>
                      </w:tcPr>
                      <w:p w:rsid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ב-1 בחודש שלאחר פרסומו ברשומות והוא יחול על כל תביעה</w:t>
                        </w:r>
                      </w:p>
                      <w:p w:rsidR="00F476B4" w:rsidRP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לרשות המוסמכת וטרם שולמה קיצבה לפיה לפני יום תחילתו.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F476B4" w:rsidRPr="00F476B4" w:rsidRDefault="00F476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F476B4" w:rsidRDefault="00F476B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964" o:spid="_x0000_s1032" type="#_x0000_t202" style="position:absolute;left:0;text-align:left;margin-left:117.7pt;margin-top:74.05pt;width:337.4pt;height:21.6pt;z-index:1;mso-wrap-style:none;mso-position-horizontal-relative:page;mso-position-vertical-relative:page" stroked="f">
            <v:textbox style="mso-next-textbox:#_x0000_s38964" inset="0,0,0,0">
              <w:txbxContent>
                <w:p w:rsidR="00F476B4" w:rsidRPr="00F476B4" w:rsidRDefault="00F476B4">
                  <w:pPr>
                    <w:pStyle w:val="OCRStyle1"/>
                    <w:ind w:left="1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הקיצבאות (פיצוי בעד איחוד בתשלום) (תיקון), התש"ן - 1990*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476B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EB5EDA0-D365-4D92-9CF2-643220D2A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476B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2008-04-07T03:37:00Z</dcterms:created>
  <dcterms:modified xsi:type="dcterms:W3CDTF">2008-04-07T03:37:00Z</dcterms:modified>
</cp:coreProperties>
</file>