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072C" w:rsidRDefault="0046072C">
      <w:pPr>
        <w:rPr>
          <w:rtl/>
        </w:rPr>
      </w:pPr>
    </w:p>
    <w:p w:rsidR="004607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8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981" inset="0,0,0,0">
              <w:txbxContent>
                <w:p w:rsidR="0046072C" w:rsidRDefault="0046072C">
                  <w:r>
                    <w:rPr>
                      <w:rtl/>
                    </w:rPr>
                    <w:t>178                                         ספר החוקים 1325                      ח' באב התש"נ 30.07.1990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82" o:spid="_x0000_s1026" type="#_x0000_t202" style="position:absolute;left:0;text-align:left;margin-left:87.7pt;margin-top:695pt;width:178.2pt;height:59.4pt;z-index:8;mso-position-horizontal-relative:page;mso-position-vertical-relative:page" stroked="f">
            <v:textbox style="mso-next-textbox:#_x0000_s38982" inset="0,0,0,0">
              <w:txbxContent>
                <w:p w:rsidR="0046072C" w:rsidRDefault="004607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83" o:spid="_x0000_s1027" type="#_x0000_t202" style="position:absolute;left:0;text-align:left;margin-left:101.35pt;margin-top:317.8pt;width:81.2pt;height:33.25pt;z-index:7;mso-position-horizontal-relative:page;mso-position-vertical-relative:page" stroked="f">
            <v:textbox style="mso-next-textbox:#_x0000_s38983" inset="0,0,0,0">
              <w:txbxContent>
                <w:p w:rsidR="0046072C" w:rsidRDefault="0046072C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6072C" w:rsidRDefault="0046072C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84" o:spid="_x0000_s1028" type="#_x0000_t202" style="position:absolute;left:0;text-align:left;margin-left:198.15pt;margin-top:345.95pt;width:88.7pt;height:33.25pt;z-index:6;mso-position-horizontal-relative:page;mso-position-vertical-relative:page" stroked="f">
            <v:textbox style="mso-next-textbox:#_x0000_s38984" inset="0,0,0,0">
              <w:txbxContent>
                <w:p w:rsidR="0046072C" w:rsidRDefault="0046072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6072C" w:rsidRDefault="0046072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85" o:spid="_x0000_s1029" type="#_x0000_t202" style="position:absolute;left:0;text-align:left;margin-left:295.4pt;margin-top:316.65pt;width:89.5pt;height:32.45pt;z-index:5;mso-position-horizontal-relative:page;mso-position-vertical-relative:page" stroked="f">
            <v:textbox style="mso-next-textbox:#_x0000_s38985" inset="0,0,0,0">
              <w:txbxContent>
                <w:p w:rsidR="0046072C" w:rsidRDefault="0046072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6072C" w:rsidRDefault="0046072C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86" o:spid="_x0000_s1030" type="#_x0000_t202" style="position:absolute;left:0;text-align:left;margin-left:390.05pt;margin-top:343.75pt;width:93.65pt;height:44.95pt;z-index:4;mso-position-horizontal-relative:page;mso-position-vertical-relative:page" stroked="f">
            <v:textbox style="mso-next-textbox:#_x0000_s38986" inset="0,0,0,0">
              <w:txbxContent>
                <w:p w:rsidR="0046072C" w:rsidRDefault="0046072C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6072C" w:rsidRDefault="0046072C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87" o:spid="_x0000_s1031" type="#_x0000_t202" style="position:absolute;left:0;text-align:left;margin-left:90.85pt;margin-top:262.55pt;width:391.85pt;height:46.95pt;z-index:3;mso-position-horizontal-relative:page;mso-position-vertical-relative:page" stroked="f">
            <v:textbox style="mso-next-textbox:#_x0000_s38987" inset="0,0,0,0">
              <w:txbxContent>
                <w:p w:rsidR="0046072C" w:rsidRDefault="0046072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התש"ן (23 ביולי 0990: הצעת החוק ודברי הסבר פורסמו בהצעות חוק 1999, מיום ג' בתמוז</w:t>
                  </w:r>
                </w:p>
                <w:p w:rsidR="0046072C" w:rsidRDefault="0046072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התש"ן (26 ביוני 1990), עמ' 213.</w:t>
                  </w:r>
                </w:p>
                <w:p w:rsidR="0046072C" w:rsidRDefault="0046072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ס"ח התשי"ד, עמ' 154: התשכ"ג, עמ' 133: התשכ''ד, עמ' 166: התשל"ב, עמ' 119: התשל''ג, עמ' 260: התשל''ו, עמ'</w:t>
                  </w:r>
                </w:p>
                <w:p w:rsidR="0046072C" w:rsidRPr="0046072C" w:rsidRDefault="0046072C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254: התשמ"ו, עמ' 67 ועמ' 141: התשמ''ח, עמ' 42: התש"ן,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88" o:spid="_x0000_s1032" type="#_x0000_t202" style="position:absolute;left:0;text-align:left;margin-left:83.5pt;margin-top:102pt;width:475.2pt;height:156.4pt;z-index:2;mso-position-horizontal-relative:page;mso-position-vertical-relative:page" stroked="f">
            <v:textbox style="mso-next-textbox:#_x0000_s3898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5"/>
                    <w:gridCol w:w="1236"/>
                  </w:tblGrid>
                  <w:tr w:rsidR="0046072C" w:rsidRPr="0046072C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46072C" w:rsidRDefault="0046072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7 לחוק עבודת נשים, התשי"ד-1954  2-</w:t>
                        </w:r>
                      </w:p>
                      <w:p w:rsid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אחרי פסקה (3) יבוא:</w:t>
                        </w:r>
                      </w:p>
                      <w:p w:rsid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בתקופה, כאמור בתקנות, שבה היא עוברת טיפול הפריה חוץ-גופית,</w:t>
                        </w:r>
                      </w:p>
                      <w:p w:rsid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אישר הרופא המטפל בכתב כי הטיפול מחייב זאת ובמידה שאישר, ובלבד</w:t>
                        </w:r>
                      </w:p>
                      <w:p w:rsid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שהודיעה על כך למעבידה מראש: דין היעדרות לפי פסקה זו כדין היעדרות</w:t>
                        </w:r>
                      </w:p>
                      <w:p w:rsid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מפאת מחלה."</w:t>
                        </w:r>
                      </w:p>
                      <w:p w:rsid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46072C" w:rsidRP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הוראת סעיף קטן (ג40) תחול גם על עובד העובר טיפולי פוריות."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46072C" w:rsidRPr="0046072C" w:rsidRDefault="00460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46072C" w:rsidRDefault="004607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89" o:spid="_x0000_s1033" type="#_x0000_t202" style="position:absolute;left:0;text-align:left;margin-left:158.55pt;margin-top:76.05pt;width:268.9pt;height:22.75pt;z-index:1;mso-position-horizontal-relative:page;mso-position-vertical-relative:page" stroked="f">
            <v:textbox style="mso-next-textbox:#_x0000_s38989" inset="0,0,0,0">
              <w:txbxContent>
                <w:p w:rsidR="0046072C" w:rsidRPr="0046072C" w:rsidRDefault="0046072C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10), התש"ן-1990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07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525063-5C13-4174-921E-6F901E0C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072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2008-04-07T12:29:00Z</dcterms:created>
  <dcterms:modified xsi:type="dcterms:W3CDTF">2008-04-07T12:29:00Z</dcterms:modified>
</cp:coreProperties>
</file>