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0860" w:rsidRDefault="00D20860">
      <w:pPr>
        <w:rPr>
          <w:rtl/>
        </w:rPr>
      </w:pPr>
    </w:p>
    <w:p w:rsidR="00D208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03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039" inset="0,0,0,0">
              <w:txbxContent>
                <w:p w:rsidR="00D439DD" w:rsidRDefault="00D439DD">
                  <w:r>
                    <w:rPr>
                      <w:rtl/>
                    </w:rPr>
                    <w:t>2                                           ספר החוקים 1287                    ג' בחשון התש"נ 01.11.1989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40" o:spid="_x0000_s1026" type="#_x0000_t202" style="position:absolute;left:0;text-align:left;margin-left:87.2pt;margin-top:683.3pt;width:393.6pt;height:67.5pt;z-index:3;mso-wrap-style:none;mso-position-horizontal-relative:page;mso-position-vertical-relative:page" stroked="f">
            <v:textbox style="mso-next-textbox:#_x0000_s39040" inset="0,0,0,0">
              <w:txbxContent>
                <w:p w:rsidR="00D439DD" w:rsidRDefault="00D439DD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כ''ד בתשרי התש"ן (23 באוקטובר 1989); הצעת החוק ודברי הסבר פורסמו בהצעות חוק 1941 מיש</w:t>
                  </w:r>
                </w:p>
                <w:p w:rsidR="00D439DD" w:rsidRDefault="00D439DD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כ"א בתמוז התשמ"ט (24 ביולי 1989), עמ' 117.</w:t>
                  </w:r>
                </w:p>
                <w:p w:rsidR="00D439DD" w:rsidRPr="00D20860" w:rsidRDefault="00D439DD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1 ס"ח התשמ"ח,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41" o:spid="_x0000_s1027" type="#_x0000_t202" style="position:absolute;left:0;text-align:left;margin-left:88pt;margin-top:641.15pt;width:456.4pt;height:37.2pt;z-index:2;mso-wrap-style:none;mso-position-horizontal-relative:page;mso-position-vertical-relative:page" stroked="f">
            <v:textbox style="mso-next-textbox:#_x0000_s39041" inset="0,0,0,0">
              <w:txbxContent>
                <w:tbl>
                  <w:tblPr>
                    <w:tblW w:w="4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8"/>
                    <w:gridCol w:w="1170"/>
                  </w:tblGrid>
                  <w:tr w:rsidR="00D439DD" w:rsidRPr="00D20860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D439DD" w:rsidRDefault="00D439D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10 לחוק הרשות לפיתוח ירושלים, התשמ"ח-1988  1 (להלן - החוק העיקרי), אחרי</w:t>
                        </w:r>
                      </w:p>
                      <w:p w:rsidR="00D439DD" w:rsidRPr="00D20860" w:rsidRDefault="00D439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{2) יבוא:</w:t>
                        </w:r>
                      </w:p>
                    </w:tc>
                    <w:tc>
                      <w:tcPr>
                        <w:tcW w:w="705" w:type="pct"/>
                      </w:tcPr>
                      <w:p w:rsidR="00D439DD" w:rsidRPr="00D20860" w:rsidRDefault="00D439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D439DD" w:rsidRDefault="00D439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042" o:spid="_x0000_s1028" type="#_x0000_t202" style="position:absolute;left:0;text-align:left;margin-left:147.4pt;margin-top:612.25pt;width:274.8pt;height:26.55pt;z-index:1;mso-wrap-style:none;mso-position-horizontal-relative:page;mso-position-vertical-relative:page" stroked="f">
            <v:textbox style="mso-next-textbox:#_x0000_s39042" inset="0,0,0,0">
              <w:txbxContent>
                <w:p w:rsidR="00D439DD" w:rsidRPr="00D20860" w:rsidRDefault="00D439DD">
                  <w:pPr>
                    <w:pStyle w:val="OCRStyle1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לפיתוח ירושלים (תיקון), התש"ן-1989*</w:t>
                  </w:r>
                </w:p>
              </w:txbxContent>
            </v:textbox>
            <w10:wrap anchorx="page" anchory="page"/>
          </v:shape>
        </w:pict>
      </w:r>
    </w:p>
    <w:p w:rsidR="00D439DD" w:rsidRDefault="00D439DD">
      <w:pPr>
        <w:rPr>
          <w:rtl/>
        </w:rPr>
      </w:pPr>
      <w:r>
        <w:rPr>
          <w:rtl/>
        </w:rPr>
        <w:br w:type="page"/>
      </w:r>
    </w:p>
    <w:p w:rsidR="00D439DD" w:rsidRDefault="00000000">
      <w:pPr>
        <w:rPr>
          <w:rtl/>
        </w:rPr>
      </w:pPr>
      <w:r>
        <w:pict>
          <v:shape id="_x0000_s3904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043" inset="0,0,0,0">
              <w:txbxContent>
                <w:p w:rsidR="00D439DD" w:rsidRDefault="00D439DD">
                  <w:r>
                    <w:rPr>
                      <w:rtl/>
                    </w:rPr>
                    <w:t>3                                           ספר החוקים 1287                    ג' בחשון התש"נ 01.11.1989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44" o:spid="_x0000_s1030" type="#_x0000_t202" style="position:absolute;left:0;text-align:left;margin-left:161.05pt;margin-top:594.85pt;width:126.9pt;height:64.35pt;z-index:9;mso-wrap-style:none;mso-position-horizontal-relative:page;mso-position-vertical-relative:page" stroked="f">
            <v:textbox style="mso-next-textbox:#_x0000_s39044" inset="0,0,0,0">
              <w:txbxContent>
                <w:p w:rsidR="00D439DD" w:rsidRDefault="00D439DD">
                  <w:pPr>
                    <w:pStyle w:val="OCRStyle2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439DD" w:rsidRDefault="00D439DD">
                  <w:pPr>
                    <w:pStyle w:val="OCRStyle2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D439DD" w:rsidRDefault="00D439DD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ויושב ראש ועדת השרים</w:t>
                  </w:r>
                </w:p>
                <w:p w:rsidR="00D439DD" w:rsidRDefault="00D439DD">
                  <w:pPr>
                    <w:pStyle w:val="OCRStyle2"/>
                    <w:ind w:left="547"/>
                  </w:pPr>
                  <w:r>
                    <w:rPr>
                      <w:rtl/>
                    </w:rPr>
                    <w:t>לעניני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45" o:spid="_x0000_s1031" type="#_x0000_t202" style="position:absolute;left:0;text-align:left;margin-left:410.9pt;margin-top:655.05pt;width:138.6pt;height:99.8pt;z-index:8;mso-wrap-style:none;mso-position-horizontal-relative:page;mso-position-vertical-relative:page" stroked="f">
            <v:textbox style="mso-next-textbox:#_x0000_s39045" inset="0,0,0,0">
              <w:txbxContent>
                <w:p w:rsidR="00D439DD" w:rsidRDefault="00D439DD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ס"ח התשכ"ט, עמ' 103.</w:t>
                  </w:r>
                </w:p>
                <w:p w:rsidR="00D439DD" w:rsidRDefault="00D439DD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3 ס"ח התשי"ט, עמ' .190</w:t>
                  </w:r>
                </w:p>
                <w:p w:rsidR="00D439DD" w:rsidRDefault="00D439DD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ס"ח התש"ם, עמ' .2</w:t>
                  </w:r>
                </w:p>
                <w:p w:rsidR="00D439DD" w:rsidRDefault="00D439DD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5 ס"ח התשכ"ט, עמ' 144.</w:t>
                  </w:r>
                </w:p>
                <w:p w:rsidR="00D439DD" w:rsidRDefault="00D439DD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6 ס"ח התשל"ז, עמ' .226</w:t>
                  </w:r>
                </w:p>
                <w:p w:rsidR="00D439DD" w:rsidRPr="00D439DD" w:rsidRDefault="00D439DD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7 ס"ח התשי"ט,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46" o:spid="_x0000_s1032" type="#_x0000_t202" style="position:absolute;left:0;text-align:left;margin-left:314.5pt;margin-top:589.15pt;width:71.7pt;height:32.1pt;z-index:7;mso-wrap-style:none;mso-position-horizontal-relative:page;mso-position-vertical-relative:page" stroked="f">
            <v:textbox style="mso-next-textbox:#_x0000_s39046" inset="0,0,0,0">
              <w:txbxContent>
                <w:p w:rsidR="00D439DD" w:rsidRDefault="00D439DD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439DD" w:rsidRDefault="00D439DD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47" o:spid="_x0000_s1033" type="#_x0000_t202" style="position:absolute;left:0;text-align:left;margin-left:435.65pt;margin-top:611.3pt;width:81pt;height:32.25pt;z-index:6;mso-wrap-style:none;mso-position-horizontal-relative:page;mso-position-vertical-relative:page" stroked="f">
            <v:textbox style="mso-next-textbox:#_x0000_s39047" inset="0,0,0,0">
              <w:txbxContent>
                <w:p w:rsidR="00D439DD" w:rsidRDefault="00D439DD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439DD" w:rsidRDefault="00D439DD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48" o:spid="_x0000_s1034" type="#_x0000_t202" style="position:absolute;left:0;text-align:left;margin-left:89.95pt;margin-top:63.65pt;width:466.3pt;height:522.15pt;z-index:5;mso-wrap-style:none;mso-position-horizontal-relative:page;mso-position-vertical-relative:page" stroked="f">
            <v:textbox style="mso-next-textbox:#_x0000_s39048" inset="0,0,0,0">
              <w:txbxContent>
                <w:tbl>
                  <w:tblPr>
                    <w:tblW w:w="4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7"/>
                    <w:gridCol w:w="5620"/>
                    <w:gridCol w:w="1462"/>
                  </w:tblGrid>
                  <w:tr w:rsidR="00D439DD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,) שניים מנציגי הציבור במועצה שיקבעו השרים וראש עירית ירושלים; מונה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!ב ראש המועצה מקרב נציגי הציבור, יהיה הוא אחד מכין נציגי הציבור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ינהלה".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יוש;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</w:t>
                        </w:r>
                      </w:p>
                    </w:tc>
                  </w:tr>
                  <w:tr w:rsidR="00D439DD" w:rsidRPr="00D439DD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439DD" w:rsidRP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12א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D439DD" w:rsidRP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12 לחוק העיקרי יבוא:</w:t>
                        </w:r>
                      </w:p>
                    </w:tc>
                  </w:tr>
                  <w:tr w:rsidR="00D439DD" w:rsidRPr="00D439DD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א. חבר המועצה לא יקבל מהרשות שכר בעד שירותיו, אך יהא זכאי לקבל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שהוציא בקשר למילוי תפקידו כחבר המועצה בשיעורים הנהוגים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עובדי המדינה".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439DD" w:rsidRP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</w:t>
                        </w:r>
                      </w:p>
                    </w:tc>
                  </w:tr>
                  <w:tr w:rsidR="00D439DD" w:rsidRPr="00D439DD">
                    <w:trPr>
                      <w:jc w:val="right"/>
                    </w:trPr>
                    <w:tc>
                      <w:tcPr>
                        <w:tcW w:w="824" w:type="pct"/>
                        <w:vMerge w:val="restar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439DD" w:rsidRP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 עד 22ג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D439DD" w:rsidRP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22 לחוק העיקרי יבוא:</w:t>
                        </w:r>
                      </w:p>
                    </w:tc>
                  </w:tr>
                  <w:tr w:rsidR="00D439DD" w:rsidRPr="00D439DD">
                    <w:trPr>
                      <w:jc w:val="right"/>
                    </w:trPr>
                    <w:tc>
                      <w:tcPr>
                        <w:tcW w:w="824" w:type="pct"/>
                        <w:vMerge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דין הרשות כדין המדינה לענין תשלום מסים, אגרות, ארנונות, היטלים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 חובה אחרים.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הרשות</w:t>
                        </w:r>
                      </w:p>
                      <w:p w:rsidR="00D439DD" w:rsidRP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המדינה</w:t>
                        </w:r>
                      </w:p>
                    </w:tc>
                  </w:tr>
                  <w:tr w:rsidR="00D439DD" w:rsidRPr="00D439DD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22ב. (א) דין מנהל הרשות, חברי המועצה ועובדיה כדיו עובדי המדינה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חיקוקים אלה: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הבחירות לכנסת (נוסח משולב), התשכ"ט-21969;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המדינה (סיוג פעילות מפלגתית ומגבית כספים),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התשי"ט-31959: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(מתנות), התש"ם-41979;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שירות הציבור (הגבלות לאחר פרישה), התשכ"ט-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51969: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ההוראות הנוגעות לעובדי ציבור בחוק העונשין, התשל"ז-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61977.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(א), פסקאות (1), (2) ו-(4) לא יחולו על חברי המועצה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המכהנים כחברי מועצת העיריה, ופסקה (4) לא תחול אף על חברי המועצה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נציגי הציבור.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מנהל הרשות,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</w:t>
                        </w:r>
                      </w:p>
                      <w:p w:rsidR="00D439DD" w:rsidRP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ועובדיה</w:t>
                        </w:r>
                      </w:p>
                    </w:tc>
                  </w:tr>
                  <w:tr w:rsidR="00D439DD" w:rsidRPr="00D439DD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22ג. (א) למפעלים עתירי ידע ולמפעלים עתירי טכנולוגיה בירושלים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יינתנו ההטבות הניתנות למפעלים באזור פיתוח א' לפי חוק לעידוד השקעות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התשי"ט-71959; לענין זה, "מפעל עתיר ידע" ו"מפעל עתיר טכנולוגיה"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מפעל מאושר כמשמעותו בחוק האמור ושהמדען הראשי במשרד התעשיה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והמסחר אישר אותו בהתאם לכללים שקבעו השרים בתקנות.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 על מפעל שקיבל אישור החל ביום כ"ד באדר ב'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 (31 במרס 1989) ועד יום כ"ו באדר ב' התשנ"ב (31 במרס 1992)".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למפעלים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עתירי ידע</w:t>
                        </w:r>
                      </w:p>
                      <w:p w:rsid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ולמפעלים עתירי</w:t>
                        </w:r>
                      </w:p>
                      <w:p w:rsidR="00D439DD" w:rsidRPr="00D439DD" w:rsidRDefault="00D439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טכנולוגיה</w:t>
                        </w:r>
                      </w:p>
                    </w:tc>
                  </w:tr>
                </w:tbl>
                <w:p w:rsidR="00D439DD" w:rsidRDefault="00D439D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08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433436-904E-4D9E-B8D8-3A20FFFEA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086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439D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2008-04-07T03:29:00Z</dcterms:created>
  <dcterms:modified xsi:type="dcterms:W3CDTF">2008-04-07T03:30:00Z</dcterms:modified>
</cp:coreProperties>
</file>