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657" w:rsidRDefault="00861657">
      <w:pPr>
        <w:rPr>
          <w:rtl/>
        </w:rPr>
      </w:pPr>
    </w:p>
    <w:p w:rsidR="008616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119" inset="0,0,0,0">
              <w:txbxContent>
                <w:p w:rsidR="009D1300" w:rsidRDefault="009D1300">
                  <w:r>
                    <w:rPr>
                      <w:rtl/>
                    </w:rPr>
                    <w:t>40                                          ספר החוקים 1299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20" o:spid="_x0000_s1026" type="#_x0000_t202" style="position:absolute;left:0;text-align:left;margin-left:90.35pt;margin-top:668.75pt;width:383.15pt;height:70.7pt;z-index:6;mso-wrap-style:none;mso-position-horizontal-relative:page;mso-position-vertical-relative:page" stroked="f">
            <v:textbox style="mso-next-textbox:#_x0000_s39120" inset="0,0,0,0">
              <w:txbxContent>
                <w:p w:rsidR="009D1300" w:rsidRDefault="009D1300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 התש"ן (1 בינואר 1990): הצעת החוק ודברי הסבר פורסמו בהצעות חוק 1958, מיום כ"ב</w:t>
                  </w:r>
                </w:p>
                <w:p w:rsidR="009D1300" w:rsidRDefault="009D130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בחשון התש"ן (20 בנובמבר 1989), עמ' 16.</w:t>
                  </w:r>
                </w:p>
                <w:p w:rsidR="009D1300" w:rsidRPr="00861657" w:rsidRDefault="009D1300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1 ס"ח התשכ"ג, עמ' 136! התשל"ג, עמ' 222; התשמ"ו, עמ' 148.: התשמ"ח,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21" o:spid="_x0000_s1027" type="#_x0000_t202" style="position:absolute;left:0;text-align:left;margin-left:91.15pt;margin-top:598.25pt;width:455.4pt;height:65.35pt;z-index:5;mso-wrap-style:none;mso-position-horizontal-relative:page;mso-position-vertical-relative:page" stroked="f">
            <v:textbox style="mso-next-textbox:#_x0000_s3912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109"/>
                  </w:tblGrid>
                  <w:tr w:rsidR="009D1300" w:rsidRPr="00861657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לא יחולו על עובד זכאי ששכרו משתנה לפי השינויים בשער מטבע חוץ או</w:t>
                        </w:r>
                      </w:p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 מדד המחירים לצרכן.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לתחילה</w:t>
                        </w:r>
                      </w:p>
                    </w:tc>
                  </w:tr>
                  <w:tr w:rsidR="009D1300" w:rsidRPr="00861657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דין התוספת כדין פיצויי פיטורים לכל דבר וענין.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התוספת</w:t>
                        </w:r>
                      </w:p>
                    </w:tc>
                  </w:tr>
                </w:tbl>
                <w:p w:rsidR="009D1300" w:rsidRDefault="009D13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22" o:spid="_x0000_s1028" type="#_x0000_t202" style="position:absolute;left:0;text-align:left;margin-left:145.6pt;margin-top:532.9pt;width:96.45pt;height:50.1pt;z-index:4;mso-wrap-style:none;mso-position-horizontal-relative:page;mso-position-vertical-relative:page" stroked="f">
            <v:textbox style="mso-next-textbox:#_x0000_s39122" inset="0,0,0,0">
              <w:txbxContent>
                <w:tbl>
                  <w:tblPr>
                    <w:tblW w:w="10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3"/>
                    <w:gridCol w:w="899"/>
                  </w:tblGrid>
                  <w:tr w:rsidR="009D1300" w:rsidRPr="00861657">
                    <w:trPr>
                      <w:jc w:val="right"/>
                    </w:trPr>
                    <w:tc>
                      <w:tcPr>
                        <w:tcW w:w="2434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</w:t>
                        </w:r>
                      </w:p>
                    </w:tc>
                    <w:tc>
                      <w:tcPr>
                        <w:tcW w:w="2566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1</w:t>
                        </w:r>
                      </w:p>
                    </w:tc>
                  </w:tr>
                  <w:tr w:rsidR="009D1300" w:rsidRPr="0086165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מסכום הפיצויים הקובע</w:t>
                        </w:r>
                      </w:p>
                    </w:tc>
                  </w:tr>
                  <w:tr w:rsidR="009D1300" w:rsidRPr="00861657">
                    <w:trPr>
                      <w:jc w:val="right"/>
                    </w:trPr>
                    <w:tc>
                      <w:tcPr>
                        <w:tcW w:w="2434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,2</w:t>
                        </w:r>
                      </w:p>
                    </w:tc>
                    <w:tc>
                      <w:tcPr>
                        <w:tcW w:w="2566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</w:t>
                        </w:r>
                      </w:p>
                    </w:tc>
                  </w:tr>
                  <w:tr w:rsidR="009D1300" w:rsidRPr="00861657">
                    <w:trPr>
                      <w:jc w:val="right"/>
                    </w:trPr>
                    <w:tc>
                      <w:tcPr>
                        <w:tcW w:w="2434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,1</w:t>
                        </w:r>
                      </w:p>
                    </w:tc>
                    <w:tc>
                      <w:tcPr>
                        <w:tcW w:w="2566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</w:t>
                        </w:r>
                      </w:p>
                    </w:tc>
                  </w:tr>
                </w:tbl>
                <w:p w:rsidR="009D1300" w:rsidRDefault="009D13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23" o:spid="_x0000_s1029" type="#_x0000_t202" style="position:absolute;left:0;text-align:left;margin-left:327.95pt;margin-top:542.65pt;width:100.2pt;height:41pt;z-index:3;mso-wrap-style:none;mso-position-horizontal-relative:page;mso-position-vertical-relative:page" stroked="f">
            <v:textbox style="mso-next-textbox:#_x0000_s39123" inset="0,0,0,0">
              <w:txbxContent>
                <w:tbl>
                  <w:tblPr>
                    <w:tblW w:w="1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2"/>
                  </w:tblGrid>
                  <w:tr w:rsidR="009D1300" w:rsidRPr="0086165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הקובע</w:t>
                        </w:r>
                      </w:p>
                    </w:tc>
                  </w:tr>
                  <w:tr w:rsidR="009D13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עד יולי 1989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אוגוסט 1989 עד מרס 1990</w:t>
                        </w:r>
                      </w:p>
                    </w:tc>
                  </w:tr>
                </w:tbl>
                <w:p w:rsidR="009D1300" w:rsidRDefault="009D13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24" o:spid="_x0000_s1030" type="#_x0000_t202" style="position:absolute;left:0;text-align:left;margin-left:85.2pt;margin-top:99.9pt;width:460.55pt;height:428.65pt;z-index:2;mso-wrap-style:none;mso-position-horizontal-relative:page;mso-position-vertical-relative:page" stroked="f">
            <v:textbox style="mso-next-textbox:#_x0000_s39124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121"/>
                  </w:tblGrid>
                  <w:tr w:rsidR="009D1300" w:rsidRPr="00861657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9D1300" w:rsidRDefault="009D130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שבין כ"ו בשבט התשמ"ט (1 בפברואר 1989) לבין ה' בניסן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(31 במרס 1990);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 העיקרי" - חוק פיצויי פיטורים, התשכ"ג- 1963 1: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זכאי" -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שיחסי העבודה בינו לבין מעבידו נפסקו בתקופה הקובעת והוא זכאי עקב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לפיצויי פיטורים;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היתה זכותו של עובד לפיצויי פיטורים מותנית על פי החוק העיקרי בקיום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תנאי, יראוהו כעובד זכאי אם התנאי התקיים בתקופה הקובעת, והוא אף אם יחסי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נפסקו לפני התקופה הקובעת;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שאיריו של עובד כאמור בפסקה (1) הזכאים לפיצויי פיטורים לפי סעיף 5 לחוק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"החודש הקובע" - החודש, בתקופה הקובעת, שבו נפסקו יחסי העבודה בין העובד הזכאי לבין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מעבידו, ולגבי עובד זכאי שזכאותו לפיצויי פיטורים מותנית על פי החוק העיקרי בקיום תנאי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החודש, בתקופה הקובעת, שבו נתקיים התנאי;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"התוספת" - התוספת לפיצויי הפיטורים האמורה בסעיף 2;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הפיצויים הרגיל" -סכום פיצויי הפיטורים המגיעים לעובד לפי סעיפים 12, 13 ו-13א לחוק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הפיצויים הקובע" - סכום הפיצויים הרגיל כשהוא מחושב על כסיס שכר עד לתקרה של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2,085 שקלים חדשים לחודש שהיא התקרה הקבועה בהסכם הקיבוצי הכללי בדבר תוספת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מיום 17 בספטמבר 1989 בין לשכת התיאום של הארגונים הכלכליים בשם הארגונים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המאוגדים בה לבין ההסתדרות הכללית של העובדים בא"י, האגף לאיגוד מקצועי, שמספרו</w:t>
                        </w:r>
                      </w:p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ההסכמים הקיבוציים 89 '7046.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D1300" w:rsidRPr="00861657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 זכאי, שהשכר ששימש בסיס לחישוב פיצויי הפיטורים המגיעים לו לפי החוק</w:t>
                        </w:r>
                      </w:p>
                      <w:p w:rsidR="009D1300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כולל רכיב של תוספת יוקר או פיצויי התייקרות, זכאי לקבל ממעבידו תוספת לפיצויי</w:t>
                        </w:r>
                      </w:p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בשיעור כמפורט להלן:</w:t>
                        </w:r>
                      </w:p>
                    </w:tc>
                    <w:tc>
                      <w:tcPr>
                        <w:tcW w:w="669" w:type="pct"/>
                      </w:tcPr>
                      <w:p w:rsidR="009D1300" w:rsidRPr="00861657" w:rsidRDefault="009D13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לתוספת</w:t>
                        </w:r>
                      </w:p>
                    </w:tc>
                  </w:tr>
                </w:tbl>
                <w:p w:rsidR="009D1300" w:rsidRDefault="009D13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25" o:spid="_x0000_s1031" type="#_x0000_t202" style="position:absolute;left:0;text-align:left;margin-left:161.8pt;margin-top:69.6pt;width:254.85pt;height:22.35pt;z-index:1;mso-wrap-style:none;mso-position-horizontal-relative:page;mso-position-vertical-relative:page" stroked="f">
            <v:textbox style="mso-next-textbox:#_x0000_s39125" inset="0,0,0,0">
              <w:txbxContent>
                <w:p w:rsidR="009D1300" w:rsidRPr="00861657" w:rsidRDefault="009D1300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 פיטורים (הוראת שעה), התש"ן-1990*</w:t>
                  </w:r>
                </w:p>
              </w:txbxContent>
            </v:textbox>
            <w10:wrap anchorx="page" anchory="page"/>
          </v:shape>
        </w:pict>
      </w:r>
    </w:p>
    <w:p w:rsidR="009D1300" w:rsidRDefault="009D1300">
      <w:pPr>
        <w:rPr>
          <w:rtl/>
        </w:rPr>
      </w:pPr>
      <w:r>
        <w:rPr>
          <w:rtl/>
        </w:rPr>
        <w:br w:type="page"/>
      </w:r>
    </w:p>
    <w:p w:rsidR="009D1300" w:rsidRDefault="00000000">
      <w:pPr>
        <w:rPr>
          <w:rtl/>
        </w:rPr>
      </w:pPr>
      <w:r>
        <w:pict>
          <v:shape id="_x0000_s3912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126" inset="0,0,0,0">
              <w:txbxContent>
                <w:p w:rsidR="009D1300" w:rsidRDefault="009D1300">
                  <w:r>
                    <w:rPr>
                      <w:rtl/>
                    </w:rPr>
                    <w:t>41                                          ספר החוקים 1299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27" o:spid="_x0000_s1033" type="#_x0000_t202" style="position:absolute;left:0;text-align:left;margin-left:453.15pt;margin-top:344.25pt;width:90.3pt;height:28.5pt;z-index:12;mso-wrap-style:none;mso-position-horizontal-relative:page;mso-position-vertical-relative:page" stroked="f">
            <v:textbox style="mso-next-textbox:#_x0000_s39127" inset="0,0,0,0">
              <w:txbxContent>
                <w:p w:rsidR="009D1300" w:rsidRPr="009D1300" w:rsidRDefault="009D1300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2  ס"ח התשי"ח.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28" o:spid="_x0000_s1034" type="#_x0000_t202" style="position:absolute;left:0;text-align:left;margin-left:175.95pt;margin-top:266.85pt;width:97.2pt;height:35.25pt;z-index:11;mso-wrap-style:none;mso-position-horizontal-relative:page;mso-position-vertical-relative:page" stroked="f">
            <v:textbox style="mso-next-textbox:#_x0000_s39128" inset="0,0,0,0">
              <w:txbxContent>
                <w:p w:rsidR="009D1300" w:rsidRDefault="009D1300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D1300" w:rsidRDefault="009D1300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29" o:spid="_x0000_s1035" type="#_x0000_t202" style="position:absolute;left:0;text-align:left;margin-left:317.9pt;margin-top:269.45pt;width:76.65pt;height:31.9pt;z-index:10;mso-wrap-style:none;mso-position-horizontal-relative:page;mso-position-vertical-relative:page" stroked="f">
            <v:textbox style="mso-next-textbox:#_x0000_s39129" inset="0,0,0,0">
              <w:txbxContent>
                <w:p w:rsidR="009D1300" w:rsidRDefault="009D1300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D1300" w:rsidRDefault="009D1300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0" o:spid="_x0000_s1036" type="#_x0000_t202" style="position:absolute;left:0;text-align:left;margin-left:444.4pt;margin-top:295.35pt;width:79.2pt;height:39.6pt;z-index:9;mso-wrap-style:none;mso-position-horizontal-relative:page;mso-position-vertical-relative:page" stroked="f">
            <v:textbox style="mso-next-textbox:#_x0000_s39130" inset="0,0,0,0">
              <w:txbxContent>
                <w:p w:rsidR="009D1300" w:rsidRDefault="009D1300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D1300" w:rsidRDefault="009D1300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1" o:spid="_x0000_s1037" type="#_x0000_t202" style="position:absolute;left:0;text-align:left;margin-left:95.75pt;margin-top:64.5pt;width:452.85pt;height:194.65pt;z-index:8;mso-wrap-style:none;mso-position-horizontal-relative:page;mso-position-vertical-relative:page" stroked="f">
            <v:textbox style="mso-next-textbox:#_x0000_s39131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38"/>
                  </w:tblGrid>
                  <w:tr w:rsidR="009D1300" w:rsidRPr="009D130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D1300" w:rsidRP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D1300" w:rsidRP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לענין חוק זה דין המדינה כדין כל מעביד אחר.</w:t>
                        </w:r>
                      </w:p>
                    </w:tc>
                  </w:tr>
                  <w:tr w:rsidR="009D1300" w:rsidRPr="009D130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9D1300" w:rsidRP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חוק זה יחול לגבי עובד זכאי אף אם שולמו לו פיצויי פיטורים לפני פרסומו של חוק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ששולמו לו פיצויי פיטורים במועד שקדם ל-14 ימים שלאחר יום הפרסום כאמור,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לתשלום נוסף עקב הוראות חוק זה -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מעבידו לא יהיה חייב לשלם לו את התשלום האמור אם לא הגיש לו דרישה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לתשלום תוך שנה מיום הפרסום כאמור: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20 לחוק הגנת השכר, התשי"ח-21958, לא יראו כמולן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נוסף כאמור ששולם תוך שלושים ימים מיום מסירת הדרישה; לא שולם תוך</w:t>
                        </w:r>
                      </w:p>
                      <w:p w:rsid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האמור, יראו כמועד לתשלומו לעניו אותו סעיף, את היום השלושים שלאחר</w:t>
                        </w:r>
                      </w:p>
                      <w:p w:rsidR="009D1300" w:rsidRPr="009D1300" w:rsidRDefault="009D13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מסירת הדרישה.</w:t>
                        </w:r>
                      </w:p>
                    </w:tc>
                  </w:tr>
                </w:tbl>
                <w:p w:rsidR="009D1300" w:rsidRDefault="009D13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16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8D05F7-375E-4764-A570-91D61D51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65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D13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2008-04-07T03:32:00Z</dcterms:created>
  <dcterms:modified xsi:type="dcterms:W3CDTF">2008-04-07T03:32:00Z</dcterms:modified>
</cp:coreProperties>
</file>