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5120" w:rsidRDefault="00AE5120">
      <w:pPr>
        <w:rPr>
          <w:rtl/>
        </w:rPr>
      </w:pPr>
    </w:p>
    <w:p w:rsidR="00AE512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33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333" inset="0,0,0,0">
              <w:txbxContent>
                <w:p w:rsidR="00AE5120" w:rsidRDefault="00AE5120">
                  <w:r>
                    <w:rPr>
                      <w:rtl/>
                    </w:rPr>
                    <w:t>188                                         ספר החוקים 1328                     י"ט באב התש"נ 10.08.1990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34" o:spid="_x0000_s1026" type="#_x0000_t202" style="position:absolute;left:0;text-align:left;margin-left:79.65pt;margin-top:380.2pt;width:381.35pt;height:53.45pt;z-index:7;mso-position-horizontal-relative:page;mso-position-vertical-relative:page" stroked="f">
            <v:textbox style="mso-next-textbox:#_x0000_s39334" inset="0,0,0,0">
              <w:txbxContent>
                <w:p w:rsidR="00AE5120" w:rsidRDefault="00AE5120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 באב התש"ן (1 באוגוסט 1990): הצעת החוק ודברי הסבר פורסמו בהצעות חוק 2007, מיום א' באב</w:t>
                  </w:r>
                </w:p>
                <w:p w:rsidR="00AE5120" w:rsidRDefault="00AE5120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התש"ן (23 ביולי 1990), עמ' 261.</w:t>
                  </w:r>
                </w:p>
                <w:p w:rsidR="00AE5120" w:rsidRDefault="00AE5120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1 ס"ח התשי"ד, עמ' 154: התשכ"ג, עמ' 133: התשכ''ד, עמ' 166: התשל"ב, עמ' 119: התשל"ג, עמ' 260; התשל"ו, עמ'</w:t>
                  </w:r>
                </w:p>
                <w:p w:rsidR="00AE5120" w:rsidRDefault="00AE5120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254: התשמ"ו, עמ' 67 ועמ' 141; התשמ"ח, עמ' 42; התש"ן, עמ' 173 ועמ' .178</w:t>
                  </w:r>
                </w:p>
                <w:p w:rsidR="00AE5120" w:rsidRPr="00AE5120" w:rsidRDefault="00AE5120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2 ס"ח התשכ''ח,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35" o:spid="_x0000_s1027" type="#_x0000_t202" style="position:absolute;left:0;text-align:left;margin-left:72.7pt;margin-top:310.5pt;width:102.35pt;height:32.65pt;z-index:6;mso-position-horizontal-relative:page;mso-position-vertical-relative:page" stroked="f">
            <v:textbox style="mso-next-textbox:#_x0000_s39335" inset="0,0,0,0">
              <w:txbxContent>
                <w:p w:rsidR="00AE5120" w:rsidRDefault="00AE5120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E5120" w:rsidRDefault="00AE5120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36" o:spid="_x0000_s1028" type="#_x0000_t202" style="position:absolute;left:0;text-align:left;margin-left:176.05pt;margin-top:339.8pt;width:87.7pt;height:29.3pt;z-index:5;mso-position-horizontal-relative:page;mso-position-vertical-relative:page" stroked="f">
            <v:textbox style="mso-next-textbox:#_x0000_s39336" inset="0,0,0,0">
              <w:txbxContent>
                <w:p w:rsidR="00AE5120" w:rsidRDefault="00AE5120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AE5120" w:rsidRDefault="00AE5120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37" o:spid="_x0000_s1029" type="#_x0000_t202" style="position:absolute;left:0;text-align:left;margin-left:268.15pt;margin-top:311.25pt;width:93.85pt;height:30.3pt;z-index:4;mso-position-horizontal-relative:page;mso-position-vertical-relative:page" stroked="f">
            <v:textbox style="mso-next-textbox:#_x0000_s39337" inset="0,0,0,0">
              <w:txbxContent>
                <w:p w:rsidR="00AE5120" w:rsidRDefault="00AE5120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E5120" w:rsidRDefault="00AE5120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38" o:spid="_x0000_s1030" type="#_x0000_t202" style="position:absolute;left:0;text-align:left;margin-left:362pt;margin-top:339pt;width:82.55pt;height:30.1pt;z-index:3;mso-position-horizontal-relative:page;mso-position-vertical-relative:page" stroked="f">
            <v:textbox style="mso-next-textbox:#_x0000_s39338" inset="0,0,0,0">
              <w:txbxContent>
                <w:p w:rsidR="00AE5120" w:rsidRDefault="00AE5120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E5120" w:rsidRDefault="00AE5120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39" o:spid="_x0000_s1031" type="#_x0000_t202" style="position:absolute;left:0;text-align:left;margin-left:77.05pt;margin-top:92.7pt;width:460.55pt;height:210.1pt;z-index:2;mso-position-horizontal-relative:page;mso-position-vertical-relative:page" stroked="f">
            <v:textbox style="mso-next-textbox:#_x0000_s3933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8"/>
                    <w:gridCol w:w="1375"/>
                  </w:tblGrid>
                  <w:tr w:rsidR="00AE5120" w:rsidRPr="00AE5120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AE5120" w:rsidRDefault="00AE512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6 לחוק עבודת נשים, התשי"ד-1954 1, אחרי סעיף קטן (ד) יבוא:</w:t>
                        </w:r>
                      </w:p>
                      <w:p w:rsidR="00AE5120" w:rsidRDefault="00AE5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(1) עובדת הזכאית לדמי לידה לפי חוק הביטוח הלאומי [נוסח משולב],</w:t>
                        </w:r>
                      </w:p>
                      <w:p w:rsidR="00AE5120" w:rsidRDefault="00AE5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התשכ"ח-1968 2, והיא ומעבידה או המעביד בלבד נהגו לשלם תשלומים להבטחת</w:t>
                        </w:r>
                      </w:p>
                      <w:p w:rsidR="00AE5120" w:rsidRDefault="00AE5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פנסיה, ימשיך המעביד לשלם תשלומים כאמור בעד התקופה שבעדה שולמו דמי</w:t>
                        </w:r>
                      </w:p>
                      <w:p w:rsidR="00AE5120" w:rsidRDefault="00AE5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הלידה ובלבד שהעובדת שילמה בעד התקופה האמורה את התשלומים החלים עליה,</w:t>
                        </w:r>
                      </w:p>
                      <w:p w:rsidR="00AE5120" w:rsidRDefault="00AE5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חלים, להבטחת הזכות האמורה, והכל בשיעורים ולפי שכר העבודה כאילו</w:t>
                        </w:r>
                      </w:p>
                      <w:p w:rsidR="00AE5120" w:rsidRDefault="00AE5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הוסיפה העובדת לעבוד בתקופה האמורה;</w:t>
                        </w:r>
                      </w:p>
                      <w:p w:rsidR="00AE5120" w:rsidRDefault="00AE5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בפסקה (1) יחול על מעביד שבינו לבין העובדת התקיימו יחסי עובד</w:t>
                        </w:r>
                      </w:p>
                      <w:p w:rsidR="00AE5120" w:rsidRDefault="00AE5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ומעביד כל תקופת ההריון והעובדת עבדה אצלו ששה חדשים לפחות בתכוף לפני</w:t>
                        </w:r>
                      </w:p>
                      <w:p w:rsidR="00AE5120" w:rsidRDefault="00AE5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ההריון;</w:t>
                        </w:r>
                      </w:p>
                      <w:p w:rsidR="00AE5120" w:rsidRDefault="00AE5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השר, באישור ועדת העבודה והרווחה של הכנסת, יקבע בתקנות מועדים</w:t>
                        </w:r>
                      </w:p>
                      <w:p w:rsidR="00AE5120" w:rsidRDefault="00AE5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וכללים לתשלום הסכומים כאמור בפסקה (1); בתקנות כאמור רשאי השר לקבוע</w:t>
                        </w:r>
                      </w:p>
                      <w:p w:rsidR="00AE5120" w:rsidRPr="00AE5120" w:rsidRDefault="00AE5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שונים למעביד ולעובדת."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AE5120" w:rsidRPr="00AE5120" w:rsidRDefault="00AE51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AE5120" w:rsidRDefault="00AE51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340" o:spid="_x0000_s1032" type="#_x0000_t202" style="position:absolute;left:0;text-align:left;margin-left:128.75pt;margin-top:70.3pt;width:300.35pt;height:21.6pt;z-index:1;mso-position-horizontal-relative:page;mso-position-vertical-relative:page" stroked="f">
            <v:textbox style="mso-next-textbox:#_x0000_s39340" inset="0,0,0,0">
              <w:txbxContent>
                <w:p w:rsidR="00AE5120" w:rsidRPr="00AE5120" w:rsidRDefault="00AE5120">
                  <w:pPr>
                    <w:pStyle w:val="OCRStyle1"/>
                    <w:ind w:left="76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עבודת נשים (תיקון מס' 11), התש"ן-1990*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E512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D40A1BF-6FBA-42A3-881D-C97B4FB79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512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2008-04-07T12:30:00Z</dcterms:created>
  <dcterms:modified xsi:type="dcterms:W3CDTF">2008-04-07T12:30:00Z</dcterms:modified>
</cp:coreProperties>
</file>