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7E97" w:rsidRDefault="00B77E97">
      <w:pPr>
        <w:rPr>
          <w:rtl/>
        </w:rPr>
      </w:pPr>
    </w:p>
    <w:p w:rsidR="00B77E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4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413" inset="0,0,0,0">
              <w:txbxContent>
                <w:p w:rsidR="00522544" w:rsidRDefault="00522544">
                  <w:r>
                    <w:rPr>
                      <w:rtl/>
                    </w:rPr>
                    <w:t>98                                          ספר החוקים 1307                    כ"א בשבט התש"נ 16.02.1990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14" o:spid="_x0000_s1026" type="#_x0000_t202" style="position:absolute;left:0;text-align:left;margin-left:75.8pt;margin-top:670pt;width:406.5pt;height:84.35pt;z-index:3;mso-wrap-style:none;mso-position-horizontal-relative:page;mso-position-vertical-relative:page" stroked="f">
            <v:textbox style="mso-next-textbox:#_x0000_s39414" inset="0,0,0,0">
              <w:txbxContent>
                <w:p w:rsidR="00522544" w:rsidRDefault="0052254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בשבט התש"ן (7 בפברואר 1990): הצעת החוק ודברי הסבר פורסמו בה"ח 1971, התש"ן,</w:t>
                  </w:r>
                </w:p>
                <w:p w:rsidR="00522544" w:rsidRDefault="00522544">
                  <w:pPr>
                    <w:pStyle w:val="OCRStyle1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עמ' 76.</w:t>
                  </w:r>
                </w:p>
                <w:p w:rsidR="00522544" w:rsidRDefault="0052254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 ס''ח התשכ"ה, עמ' 307.</w:t>
                  </w:r>
                </w:p>
                <w:p w:rsidR="00522544" w:rsidRPr="00B77E97" w:rsidRDefault="00522544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יי ס"ח התשל"ג, עמ' .16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15" o:spid="_x0000_s1027" type="#_x0000_t202" style="position:absolute;left:0;text-align:left;margin-left:91.45pt;margin-top:100.95pt;width:472.65pt;height:568.25pt;z-index:2;mso-wrap-style:none;mso-position-horizontal-relative:page;mso-position-vertical-relative:page" stroked="f">
            <v:textbox style="mso-next-textbox:#_x0000_s39415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1"/>
                    <w:gridCol w:w="1732"/>
                  </w:tblGrid>
                  <w:tr w:rsidR="00522544" w:rsidRPr="00B77E97">
                    <w:trPr>
                      <w:jc w:val="right"/>
                    </w:trPr>
                    <w:tc>
                      <w:tcPr>
                        <w:tcW w:w="3992" w:type="pct"/>
                      </w:tcPr>
                      <w:p w:rsidR="00522544" w:rsidRDefault="0052254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לענין חוק זה -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התכנון" - חוק התכנון והבניה, התשכ"ה-1965 1;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התכנון" - התקנות שהותקנו לפי חוק התכנון;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"מבנה מגורים" - מבנה שייעודו הוא מגורים;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"מבנה משולב" - מבנה מגורים עם חנויות במפלס הרחוב;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"מהנדס הועדה המקומית" - לרבות מי שהוא הסמיך לצורך חוק התכנון, ובלבד שהוא בעל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הכישורים המנויים כסעיף 20(א) לחוק התכנון.</w:t>
                        </w:r>
                      </w:p>
                      <w:p w:rsidR="00522544" w:rsidRPr="00B77E97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מונח אחר בחוק זה תהא המשמעות שיש לו בחוק התכנון ובתקנות התכנון.</w:t>
                        </w:r>
                      </w:p>
                    </w:tc>
                    <w:tc>
                      <w:tcPr>
                        <w:tcW w:w="1008" w:type="pct"/>
                      </w:tcPr>
                      <w:p w:rsidR="00522544" w:rsidRPr="00B77E97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  <w:tr w:rsidR="00522544" w:rsidRPr="00B77E97">
                    <w:trPr>
                      <w:jc w:val="right"/>
                    </w:trPr>
                    <w:tc>
                      <w:tcPr>
                        <w:tcW w:w="3992" w:type="pct"/>
                      </w:tcPr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האמור בסעיפים 145, 157 ו-158ז עד 158י לחוק התכנון ובתקנות התכנון,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המועדים לטיפול ולהחלטה בבקשה להיתר לבניית מבנה מגורים או לבניית מבנה משולב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היתר) ולמתן ההיתר, יחולו ההוראות הבאות: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ועדה מקומית או רשות רישוי מקומית שקיבלו בקשה להיתר יחליטו בבקשה,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הוחלט ליתן את ההיתר, יתנו אותו תוך שלושים ימים מיום שהוגשה להם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לבניית מבנה מגורים ותוך ששים ימים מיום שהוגשה להם הבקשה לבניית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משולב, אם הבקשה והנספחים ערוכים לפי דרישות חוק התכנון ותקנות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ואם הבניה המבוקשת והשימוש מתאימים להוראות התכנית החלה על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או הבנין נושא הבקשה: על בקשה כאמור יחולו הוראות סעיף 158ז(ב) לחוק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התכנון, ואולם בתצהיר כאמור באותו סעיף, יכול שלא יתקיימו דרישות סעיף 3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התיאום המודולרי, התשל"ג-21972;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הוגשה בקשה להיתר, רשאי מהנדס הועדה המקומית לדרוש שינויים, תיקונים,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השלמות והבהרות לבקשה להיתר, תוך עשרים ימים מיום הגשת הבקשה-. הוגשה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מתוקנת כנדרש, יחולו המועדים הנקובים בפסקה (1) מיום הגשתה של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המתוקנת.</w:t>
                        </w:r>
                      </w:p>
                      <w:p w:rsidR="00522544" w:rsidRPr="00B77E97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זה לא תחול על תוספות ושינויים במבנים מאוכלסים.</w:t>
                        </w:r>
                      </w:p>
                    </w:tc>
                    <w:tc>
                      <w:tcPr>
                        <w:tcW w:w="1008" w:type="pct"/>
                      </w:tcPr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לטיפול</w:t>
                        </w:r>
                      </w:p>
                      <w:p w:rsidR="00522544" w:rsidRPr="00B77E97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להיתר</w:t>
                        </w:r>
                      </w:p>
                    </w:tc>
                  </w:tr>
                  <w:tr w:rsidR="00522544" w:rsidRPr="00B77E97">
                    <w:trPr>
                      <w:jc w:val="right"/>
                    </w:trPr>
                    <w:tc>
                      <w:tcPr>
                        <w:tcW w:w="3992" w:type="pct"/>
                      </w:tcPr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ניתנה החלטה במועדים הקבועים בסעיף 2, רשאי המבקש, תוך 14 ימים לאחר תום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מועדים, לפנות לרשות הרישוי המחוזית והיא תחליט בבקשה תוך עשרים ימים; לצורך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יהיו לרשות הרישוי המחוזית כל הסמכויות הנתונות לרשות הרישוי המקומית; החליטה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הרישוי המחוזית על מתן ההיתר, תודיע על כך, תוך שבעה ימים, לרשות הרישוי המקומית</w:t>
                        </w:r>
                      </w:p>
                      <w:p w:rsidR="00522544" w:rsidRPr="00B77E97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שתיתן את ההיתר תוך עשרים ימים מיום שהודעה לה ההחלטה.</w:t>
                        </w:r>
                      </w:p>
                    </w:tc>
                    <w:tc>
                      <w:tcPr>
                        <w:tcW w:w="1008" w:type="pct"/>
                      </w:tcPr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רשות</w:t>
                        </w:r>
                      </w:p>
                      <w:p w:rsidR="00522544" w:rsidRPr="00B77E97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מחוזית</w:t>
                        </w:r>
                      </w:p>
                    </w:tc>
                  </w:tr>
                  <w:tr w:rsidR="00522544" w:rsidRPr="00B77E97">
                    <w:trPr>
                      <w:jc w:val="right"/>
                    </w:trPr>
                    <w:tc>
                      <w:tcPr>
                        <w:tcW w:w="3992" w:type="pct"/>
                      </w:tcPr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הפנים רשאי לקבוע בתקנות הוראות בדבר הסדרים לתשלום אגרות או היטלים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אחרים שיש לשלמם על פי כל חיקוק ואשר מתן ההיתר מותנה בהם, לרבות תוספת</w:t>
                        </w:r>
                      </w:p>
                      <w:p w:rsidR="00522544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 על תשלום שנדחה; היו התשלומים כאמור מגיעים למדינה, יותקנו התקנות</w:t>
                        </w:r>
                      </w:p>
                      <w:p w:rsidR="00522544" w:rsidRPr="00B77E97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האוצר.</w:t>
                        </w:r>
                      </w:p>
                    </w:tc>
                    <w:tc>
                      <w:tcPr>
                        <w:tcW w:w="1008" w:type="pct"/>
                      </w:tcPr>
                      <w:p w:rsidR="00522544" w:rsidRPr="00B77E97" w:rsidRDefault="005225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 תשלומים</w:t>
                        </w:r>
                      </w:p>
                    </w:tc>
                  </w:tr>
                </w:tbl>
                <w:p w:rsidR="00522544" w:rsidRDefault="005225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416" o:spid="_x0000_s1028" type="#_x0000_t202" style="position:absolute;left:0;text-align:left;margin-left:143.1pt;margin-top:77pt;width:265.9pt;height:19.8pt;z-index:1;mso-wrap-style:none;mso-position-horizontal-relative:page;mso-position-vertical-relative:page" stroked="f">
            <v:textbox style="mso-next-textbox:#_x0000_s39416" inset="0,0,0,0">
              <w:txbxContent>
                <w:p w:rsidR="00522544" w:rsidRPr="00B77E97" w:rsidRDefault="00522544">
                  <w:pPr>
                    <w:pStyle w:val="OCRStyle1"/>
                    <w:ind w:left="34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רישוי בניה (הוראת שעה), התש"ן-1990 *</w:t>
                  </w:r>
                </w:p>
              </w:txbxContent>
            </v:textbox>
            <w10:wrap anchorx="page" anchory="page"/>
          </v:shape>
        </w:pict>
      </w:r>
    </w:p>
    <w:p w:rsidR="00060B06" w:rsidRDefault="00060B06">
      <w:pPr>
        <w:rPr>
          <w:rtl/>
        </w:rPr>
      </w:pPr>
      <w:r>
        <w:rPr>
          <w:rtl/>
        </w:rPr>
        <w:br w:type="page"/>
      </w:r>
    </w:p>
    <w:p w:rsidR="00060B06" w:rsidRDefault="00000000">
      <w:pPr>
        <w:rPr>
          <w:rtl/>
        </w:rPr>
      </w:pPr>
      <w:r>
        <w:pict>
          <v:shape id="_x0000_s3941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417" inset="0,0,0,0">
              <w:txbxContent>
                <w:p w:rsidR="00522544" w:rsidRDefault="00522544">
                  <w:r>
                    <w:rPr>
                      <w:rtl/>
                    </w:rPr>
                    <w:t>99                                          ספר החוקים 1307                    כ"א בשבט התש"נ 16.02.1990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18" o:spid="_x0000_s1030" type="#_x0000_t202" style="position:absolute;left:0;text-align:left;margin-left:383.15pt;margin-top:724.65pt;width:174.05pt;height:19pt;z-index:9;mso-wrap-style:none;mso-position-horizontal-relative:page;mso-position-vertical-relative:page" stroked="f">
            <v:textbox style="mso-next-textbox:#_x0000_s39418" inset="0,0,0,0">
              <w:txbxContent>
                <w:p w:rsidR="00522544" w:rsidRDefault="005225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419" o:spid="_x0000_s1031" type="#_x0000_t202" style="position:absolute;left:0;text-align:left;margin-left:174.1pt;margin-top:422.5pt;width:105.95pt;height:43.95pt;z-index:8;mso-wrap-style:none;mso-position-horizontal-relative:page;mso-position-vertical-relative:page" stroked="f">
            <v:textbox style="mso-next-textbox:#_x0000_s39419" inset="0,0,0,0">
              <w:txbxContent>
                <w:p w:rsidR="00522544" w:rsidRDefault="00522544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522544" w:rsidRDefault="00522544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20" o:spid="_x0000_s1032" type="#_x0000_t202" style="position:absolute;left:0;text-align:left;margin-left:311.7pt;margin-top:425.85pt;width:98.2pt;height:38pt;z-index:7;mso-wrap-style:none;mso-position-horizontal-relative:page;mso-position-vertical-relative:page" stroked="f">
            <v:textbox style="mso-next-textbox:#_x0000_s39420" inset="0,0,0,0">
              <w:txbxContent>
                <w:p w:rsidR="00522544" w:rsidRDefault="00522544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22544" w:rsidRDefault="00522544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21" o:spid="_x0000_s1033" type="#_x0000_t202" style="position:absolute;left:0;text-align:left;margin-left:433.05pt;margin-top:449.25pt;width:90.5pt;height:43.95pt;z-index:6;mso-wrap-style:none;mso-position-horizontal-relative:page;mso-position-vertical-relative:page" stroked="f">
            <v:textbox style="mso-next-textbox:#_x0000_s39421" inset="0,0,0,0">
              <w:txbxContent>
                <w:p w:rsidR="00522544" w:rsidRDefault="00522544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22544" w:rsidRDefault="00522544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22" o:spid="_x0000_s1034" type="#_x0000_t202" style="position:absolute;left:0;text-align:left;margin-left:96.45pt;margin-top:62.75pt;width:466.7pt;height:356.4pt;z-index:5;mso-wrap-style:none;mso-position-horizontal-relative:page;mso-position-vertical-relative:page" stroked="f">
            <v:textbox style="mso-next-textbox:#_x0000_s39422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7153"/>
                  </w:tblGrid>
                  <w:tr w:rsidR="00522544" w:rsidRPr="00060B06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מילוי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</w:t>
                        </w:r>
                      </w:p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שר הפנים רשאי לקבוע בתקנות כי תנאים בהיתר המתחייבים מתקנות התכנון או מכל דין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לא יידרש מילויים בעת מתן ההיתר, וניתן יהיה למלאם עד תום שלושה חדשים ממועד מתן</w:t>
                        </w:r>
                      </w:p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ההיתר,</w:t>
                        </w:r>
                      </w:p>
                    </w:tc>
                  </w:tr>
                  <w:tr w:rsidR="00522544" w:rsidRPr="00060B06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רשות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הותנה מתן ההיתר בהמצאת אישור של רשות על פי דין ונדחה מילויו של תנאי זה לפי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5, תיתן אותה רשות את האישור, לאחר שמצאה כי מן הראוי לתיתו, תוך שלושים ימים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שהוגשה לה הבקשה על כך כשהיא ערוכה כדין; לא נתנה הרשות אישור במועד האמור,</w:t>
                        </w:r>
                      </w:p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תודיע באותו מועד למגיש הבקשה ולרשות הרישוי המקומית את הנימוקים לאי נתינתו.</w:t>
                        </w:r>
                      </w:p>
                    </w:tc>
                  </w:tr>
                  <w:tr w:rsidR="00522544" w:rsidRPr="00060B06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היתר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מולאו</w:t>
                        </w:r>
                      </w:p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תנאיו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נדחה מילוי תנאים בהיתר כאמור בסעיף 5, ולא מולאו התנאים עד תום המועד האמור בו,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יותלה ההיתר עד למילוי התנאים ויראו כל תוספת בניה שבוצעה לאחר המועד האמור כבניה ללא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היתר- ואולם, רשות הרישוי המקומית רשאית להאריך את המועד למילוי התנאים הנדחים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עד ששים ימים נוספים, ובלבד שאין בהמשך הבניה באותה תקופה כדי לסכל מילוי כל</w:t>
                        </w:r>
                      </w:p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מתנאי ההיתר.</w:t>
                        </w:r>
                      </w:p>
                    </w:tc>
                  </w:tr>
                  <w:tr w:rsidR="00522544" w:rsidRPr="00060B06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הפנים ממונה על ביצוע חוק זה והוא רשאי להתקין תקנות בכל ענין הנוגע לביצועו.</w:t>
                        </w:r>
                      </w:p>
                    </w:tc>
                  </w:tr>
                  <w:tr w:rsidR="00522544" w:rsidRPr="00060B06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עשרה ימים מיום פרסומו (להלן - יום התחילה) והוא יפקע בתום שנה</w:t>
                        </w:r>
                      </w:p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התחילה.</w:t>
                        </w:r>
                      </w:p>
                    </w:tc>
                  </w:tr>
                  <w:tr w:rsidR="00522544" w:rsidRPr="00060B06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חוק זה יחול על בקשות להיתר שהוגשו בתקופת תחולתו.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הוגשה בקשה לפני תחילתו של חוק זה והיא תואמת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הוראותיו אך טרם הוחלט בה, רשאי מגיש הבקשה לפנות בכתב אל רשות הרישוי המקומית</w:t>
                        </w:r>
                      </w:p>
                      <w:p w:rsidR="00522544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הפניה) ולבקש כי הוראות חוק זה יחולו על בקשתו, ומשעשה כן, יחולו הוראותיו על</w:t>
                        </w:r>
                      </w:p>
                      <w:p w:rsidR="00522544" w:rsidRPr="00060B06" w:rsidRDefault="005225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ויראו אותה כאילו הוגשה ביום שנתקבלה הפנייה אצל רשות הרישוי המקומית.</w:t>
                        </w:r>
                      </w:p>
                    </w:tc>
                  </w:tr>
                </w:tbl>
                <w:p w:rsidR="00522544" w:rsidRDefault="005225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22544" w:rsidRDefault="00522544">
      <w:pPr>
        <w:rPr>
          <w:rtl/>
        </w:rPr>
      </w:pPr>
      <w:r>
        <w:rPr>
          <w:rtl/>
        </w:rPr>
        <w:br w:type="page"/>
      </w:r>
    </w:p>
    <w:p w:rsidR="00522544" w:rsidRDefault="00000000">
      <w:pPr>
        <w:rPr>
          <w:rtl/>
        </w:rPr>
      </w:pPr>
      <w:r>
        <w:pict>
          <v:shape id="_x0000_s39423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9423" inset="0,0,0,0">
              <w:txbxContent>
                <w:p w:rsidR="00522544" w:rsidRDefault="00522544">
                  <w:r>
                    <w:rPr>
                      <w:rtl/>
                    </w:rPr>
                    <w:t>100                                         ספר החוקים 1307                    כ"א בשבט התש"נ 16.02.1990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24" o:spid="_x0000_s1036" type="#_x0000_t202" style="position:absolute;left:0;text-align:left;margin-left:91.15pt;margin-top:717.4pt;width:302.15pt;height:25.75pt;z-index:11;mso-wrap-style:none;mso-position-horizontal-relative:page;mso-position-vertical-relative:page" stroked="f">
            <v:textbox style="mso-next-textbox:#_x0000_s39424" inset="0,0,0,0">
              <w:txbxContent>
                <w:p w:rsidR="00522544" w:rsidRDefault="0052254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7E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ED628D-1102-4E89-BA60-5474D1F0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7E9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60B0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2254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2008-04-07T03:37:00Z</dcterms:created>
  <dcterms:modified xsi:type="dcterms:W3CDTF">2008-04-07T03:37:00Z</dcterms:modified>
</cp:coreProperties>
</file>