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4FCA" w:rsidRDefault="00AC4FCA">
      <w:pPr>
        <w:rPr>
          <w:rtl/>
        </w:rPr>
      </w:pPr>
    </w:p>
    <w:p w:rsidR="00AC4F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509" inset="0,0,0,0">
              <w:txbxContent>
                <w:p w:rsidR="00AC4FCA" w:rsidRDefault="00AC4FCA">
                  <w:r>
                    <w:rPr>
                      <w:rtl/>
                    </w:rPr>
                    <w:t>120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0" o:spid="_x0000_s1026" type="#_x0000_t202" style="position:absolute;left:0;text-align:left;margin-left:76.45pt;margin-top:646.35pt;width:389.05pt;height:88.7pt;z-index:6;mso-wrap-style:none;mso-position-horizontal-relative:page;mso-position-vertical-relative:page" stroked="f">
            <v:textbox style="mso-next-textbox:#_x0000_s39510" inset="0,0,0,0">
              <w:txbxContent>
                <w:p w:rsidR="00AC4FCA" w:rsidRDefault="00AC4FC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א בניסן התש"ז (27 במרס 1990) רצעת החוק ודבר- הסבר פורסמו בהצעות חוק 1963 מיום י"א</w:t>
                  </w:r>
                </w:p>
                <w:p w:rsidR="00AC4FCA" w:rsidRDefault="00AC4FCA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בטבת התש"ן (8 בינואר 1990) עמ' 15</w:t>
                  </w:r>
                </w:p>
                <w:p w:rsidR="00AC4FCA" w:rsidRDefault="00AC4FC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התשל"א עמ' 130 :התשל"ג,  עמ' 75 התשל"ח עמ' 104 התש"ם,  עמ' 95 התשמ"א עמ' 148 התשמ"ד עמ' 2</w:t>
                  </w:r>
                </w:p>
                <w:p w:rsidR="00AC4FCA" w:rsidRPr="00AC4FCA" w:rsidRDefault="00AC4FCA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התשמ"ה עמ'  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1" o:spid="_x0000_s1027" type="#_x0000_t202" style="position:absolute;left:0;text-align:left;margin-left:92.65pt;margin-top:568.9pt;width:101.55pt;height:28.5pt;z-index:5;mso-wrap-style:none;mso-position-horizontal-relative:page;mso-position-vertical-relative:page" stroked="f">
            <v:textbox style="mso-next-textbox:#_x0000_s39511" inset="0,0,0,0">
              <w:txbxContent>
                <w:p w:rsidR="00AC4FCA" w:rsidRDefault="00AC4FCA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AC4FCA" w:rsidRDefault="00AC4FC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2" o:spid="_x0000_s1028" type="#_x0000_t202" style="position:absolute;left:0;text-align:left;margin-left:352.65pt;margin-top:596.45pt;width:91.3pt;height:34.45pt;z-index:4;mso-wrap-style:none;mso-position-horizontal-relative:page;mso-position-vertical-relative:page" stroked="f">
            <v:textbox style="mso-next-textbox:#_x0000_s39512" inset="0,0,0,0">
              <w:txbxContent>
                <w:p w:rsidR="00AC4FCA" w:rsidRDefault="00AC4FC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C4FCA" w:rsidRDefault="00AC4FCA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3" o:spid="_x0000_s1029" type="#_x0000_t202" style="position:absolute;left:0;text-align:left;margin-left:228.7pt;margin-top:565.55pt;width:88.7pt;height:30.9pt;z-index:3;mso-wrap-style:none;mso-position-horizontal-relative:page;mso-position-vertical-relative:page" stroked="f">
            <v:textbox style="mso-next-textbox:#_x0000_s39513" inset="0,0,0,0">
              <w:txbxContent>
                <w:p w:rsidR="00AC4FCA" w:rsidRDefault="00AC4FC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C4FCA" w:rsidRDefault="00AC4FCA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4" o:spid="_x0000_s1030" type="#_x0000_t202" style="position:absolute;left:0;text-align:left;margin-left:76.45pt;margin-top:88.55pt;width:474.2pt;height:475.2pt;z-index:2;mso-wrap-style:none;mso-position-horizontal-relative:page;mso-position-vertical-relative:page" stroked="f">
            <v:textbox style="mso-next-textbox:#_x0000_s39514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1390"/>
                    <w:gridCol w:w="1516"/>
                  </w:tblGrid>
                  <w:tr w:rsidR="00AC4FCA" w:rsidRPr="00AC4FCA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AC4FCA" w:rsidRDefault="00AC4FC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3  לחוק שירותי הדת היהודיים (נוסח משולב), התשל"א-1971 1 (להלן -החוק</w:t>
                        </w:r>
                      </w:p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AC4FCA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כל הוראה בחיקוק שלפיה פסול אדם לכהן כחבר המועצה של רשות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שבה קיימת מועצה דתית וכן כל הוראה בחיקוק שלפיה חדל חבר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של רשות מקומית כאמור לכהן מחמת שנעדר מישיבות המועצה -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המחוייבים, גם על חבר של אותה מועצה דתית, והוא הדין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כהוראות בדבר סדר הודעה על חדילת החברות במועצה 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פסולים לכהונה</w:t>
                        </w:r>
                      </w:p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וחדילת חברות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4FCA" w:rsidRPr="00AC4FCA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10א לחוק העיקרי יבוא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10ב</w:t>
                        </w:r>
                      </w:p>
                    </w:tc>
                  </w:tr>
                  <w:tr w:rsidR="00AC4FCA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ב (א) ראה השר לעניני דתות, לאחר שעיין כדין וחשבון של ועדת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שמינה ושבין חבריה נכלל נציג של היועץ המשפטי לממשלה - כי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אינה ממלאה עוד את התפקידים המוטלים עליה לפי כל דין או שאינה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ממלאה אותם תפקידים כראוי, רשאי הוא, לאחר שהזהיר אותה, לפזר את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ואמנות במקומה ועדה ממונה. את הרכב הועדה הממונה יקבע השר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בראש הרשות המקומית וברבנות המקומית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לועדה הממונה יהיו כי1 הסמכויות והחובות של המועצה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לעניני דתות ימנה לועדה הממונה אחד מחבריה להיות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יושב-ראש, ואם ראה צורך בכך, רשאי הוא למנות חבר אחר להיות סגן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יושב-ראש. ליושב-ראש ולסגנו יהיו כל הסמכויות והחובות של ראש המועצה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וסגנו והם יהיו זכאים, אם אינם עובדי המדינה, לקבל מקופת המועצה את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שאושר לנושאי אותן משרות במועצה שפוזרה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ועדה ממונה תכהן עד שיחודש הרכב המועצה, בהתאם לסעיף 6,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השר לעניני דתות לחדש את ההרכב לענין זה בכל עת שימצא שהתנאים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מאפשרים זאת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על מינוי ועדת חקירה, פיזור המועצה ומינוי ועדה ממונה לפי סעיף</w:t>
                        </w:r>
                      </w:p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תפורסם הודעה ברשומות 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המועצה</w:t>
                        </w:r>
                      </w:p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ומינוי ועדה ממונה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4FCA" w:rsidRPr="00AC4FCA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לחוק העיקרי במקום סעיף קטן (ב) יבוא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לעניני דתות רשאי, בהסכמת שר האוצר, שר הפנים וראש הרשות</w:t>
                        </w:r>
                      </w:p>
                      <w:p w:rsid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לשנות את השיעורים הקבועים להשתתפותן של הממשלה ושל הרשות</w:t>
                        </w:r>
                      </w:p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כאמור בסעיף קטן (א), אם לדעתו תנאי המקום המיוחדים מצדיקים זאת 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C4FCA" w:rsidRPr="00AC4FCA" w:rsidRDefault="00AC4F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AC4FCA" w:rsidRDefault="00AC4F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15" o:spid="_x0000_s1031" type="#_x0000_t202" style="position:absolute;left:0;text-align:left;margin-left:109.9pt;margin-top:68.75pt;width:314.25pt;height:14.65pt;z-index:1;mso-wrap-style:none;mso-position-horizontal-relative:page;mso-position-vertical-relative:page" stroked="f">
            <v:textbox style="mso-next-textbox:#_x0000_s39515" inset="0,0,0,0">
              <w:txbxContent>
                <w:p w:rsidR="00AC4FCA" w:rsidRPr="00AC4FCA" w:rsidRDefault="00AC4FCA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שירותי הדת היהודיים (תיקון מס' 7),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4F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656BA8-FD54-4E62-AA91-6B0F96F4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4F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