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24123" w:rsidRDefault="00924123">
      <w:pPr>
        <w:rPr>
          <w:rtl/>
        </w:rPr>
      </w:pPr>
    </w:p>
    <w:p w:rsidR="0092412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52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524" inset="0,0,0,0">
              <w:txbxContent>
                <w:p w:rsidR="00885A41" w:rsidRDefault="00885A41">
                  <w:r>
                    <w:rPr>
                      <w:rtl/>
                    </w:rPr>
                    <w:t>184                                         ספר החוקים 1394                   ד' בניסן התשנ"ב 07.04.1992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25" o:spid="_x0000_s1026" type="#_x0000_t202" style="position:absolute;left:0;text-align:left;margin-left:74.6pt;margin-top:599.9pt;width:379.55pt;height:146.3pt;z-index:3;mso-position-horizontal-relative:page;mso-position-vertical-relative:page" stroked="f">
            <v:textbox style="mso-next-textbox:#_x0000_s39525" inset="0,0,0,0">
              <w:txbxContent>
                <w:p w:rsidR="00885A41" w:rsidRDefault="00885A41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י"ב באדר ב' התשנ"ב (17 במרס 1992): הצעת החוק ודברי הסבר פורסמו בהצעות חוק 2106, מיום</w:t>
                  </w:r>
                </w:p>
                <w:p w:rsidR="00885A41" w:rsidRDefault="00885A41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כ"ט בשבט התשנ"ב (3 בפברואר 1992), בעמ' 179.</w:t>
                  </w:r>
                </w:p>
                <w:p w:rsidR="00885A41" w:rsidRDefault="00885A41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1 ס"ח התשכ"א, עמ' 58.</w:t>
                  </w:r>
                </w:p>
                <w:p w:rsidR="00885A41" w:rsidRDefault="00885A41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2 ס"ח התשי"ט, עמ' .166</w:t>
                  </w:r>
                </w:p>
                <w:p w:rsidR="00885A41" w:rsidRDefault="00885A41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3 דיני מדינת ישראל, נוסח חדש 33, עמ' 630.</w:t>
                  </w:r>
                </w:p>
                <w:p w:rsidR="00885A41" w:rsidRDefault="00885A41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4 ס"ח התשמ"ג, עמ' 110</w:t>
                  </w:r>
                </w:p>
                <w:p w:rsidR="00885A41" w:rsidRDefault="00885A41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5 ס"ח התשמ"ח, עמ' 118.</w:t>
                  </w:r>
                </w:p>
                <w:p w:rsidR="00885A41" w:rsidRDefault="00885A41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6 ק"ת התשל"ט, עמ' 66.</w:t>
                  </w:r>
                </w:p>
                <w:p w:rsidR="00885A41" w:rsidRDefault="00885A41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7 ק"ת התש"ם, עמ' .992</w:t>
                  </w:r>
                </w:p>
                <w:p w:rsidR="00885A41" w:rsidRPr="00924123" w:rsidRDefault="00885A41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8 ס"ח התשכ"ה, עמ' 307.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26" o:spid="_x0000_s1027" type="#_x0000_t202" style="position:absolute;left:0;text-align:left;margin-left:73.6pt;margin-top:100.75pt;width:452.05pt;height:479.35pt;z-index:2;mso-position-horizontal-relative:page;mso-position-vertical-relative:page" stroked="f">
            <v:textbox style="mso-next-textbox:#_x0000_s3952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8"/>
                    <w:gridCol w:w="1141"/>
                  </w:tblGrid>
                  <w:tr w:rsidR="00885A41" w:rsidRPr="00924123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885A41" w:rsidRDefault="00885A41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885A41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משפט" - בית משפט שלום;</w:t>
                        </w:r>
                      </w:p>
                      <w:p w:rsidR="00885A41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"זיהום אוויר", "רעש" ו"ריח" - כמשמעותם בחוק למניעת מפגעים, התשכ"א-81961</w:t>
                        </w:r>
                      </w:p>
                      <w:p w:rsidR="00885A41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"זיהום מים" - כהגדרתו בחוק המים, התשי"ט-21959;</w:t>
                        </w:r>
                      </w:p>
                      <w:p w:rsidR="00885A41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"זיהום מי-ים" - כמשמעותו בפקודת מניעת זיהום מי הים בשמן [נוסח חדש], התש"ם-31980,</w:t>
                        </w:r>
                      </w:p>
                      <w:p w:rsidR="00885A41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למניעת זיהום הים (הטלת פסולת), התשמ"ג-41983, ובחוק למניעת זיהום מי-ים</w:t>
                        </w:r>
                      </w:p>
                      <w:p w:rsidR="00885A41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ממקורות יבשתיים, התשמ"ח-1988 5:</w:t>
                        </w:r>
                      </w:p>
                      <w:p w:rsidR="00885A41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"זיהום על ידי פסולת" - השלכה של חומר מוצק, מוצק בחלקו, נוזל, או גז במכל, במקום שלא</w:t>
                        </w:r>
                      </w:p>
                      <w:p w:rsidR="00885A41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נועד לכך על-פי החוק; לענין זה "השלכה" - לרבות זריקה, שפיכה, נטישה, השארה, או גרם</w:t>
                        </w:r>
                      </w:p>
                      <w:p w:rsidR="00885A41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לכלוך באופן אחר;</w:t>
                        </w:r>
                      </w:p>
                      <w:p w:rsidR="00885A41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"זיהום על ידי חומרים מסוכנים" - זיהום על ידי חומרים מסוכנים המפורטים בחלק א' לתוספת</w:t>
                        </w:r>
                      </w:p>
                      <w:p w:rsidR="00885A41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של צו הפיקוח על מצרכים ושירותים (שירותי הובלה ושירותי גרורים),</w:t>
                        </w:r>
                      </w:p>
                      <w:p w:rsidR="00885A41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התשל"ט-61978;</w:t>
                        </w:r>
                      </w:p>
                      <w:p w:rsidR="00885A41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"זיהום על ידי קרינה" - זיהום על ידי קרינה מיננת או על ידי קרינה בלתי מיננת, כמשמעותן</w:t>
                        </w:r>
                      </w:p>
                      <w:p w:rsidR="00885A41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הרוקחים (יסודות רדיואקטיביים ומוצריהם), התש"ם-71980;</w:t>
                        </w:r>
                      </w:p>
                      <w:p w:rsidR="00885A41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"מפגע סביבתי" - זיהום אויר, רעש, ריח, זיהום מים, זיהום מי-ים, זיהום על ידי פסולת, זיהום על</w:t>
                        </w:r>
                      </w:p>
                      <w:p w:rsidR="00885A41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חומרים מסוכנים, זיהום על ידי קרינה, והכל כשהם בניגוד לחיקוק, לצו, לתכנית, לרשיון</w:t>
                        </w:r>
                      </w:p>
                      <w:p w:rsidR="00885A41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או לכל היתר או רשיון אחר, או שיש בהם פגיעה בבריאותו של אדם או גרימת סבל ממשי</w:t>
                        </w:r>
                      </w:p>
                      <w:p w:rsidR="00885A41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לאדם; לענין זה "תכנית" - כהגדרתה בחוק התכנון והבניה, התשכ"ה-81965;</w:t>
                        </w:r>
                      </w:p>
                      <w:p w:rsidR="00885A41" w:rsidRPr="00924123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"הרשות" - השר לאיכות הסביבה או מי שהוא הסמיך לענין חוק זה, כולו או מקצתו.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885A41" w:rsidRPr="00924123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885A41" w:rsidRPr="00924123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885A41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לבקשת מי שנפגע או עומד להיפגע ממפגע סביבתי רשאי בית משפט לתת צו המורה</w:t>
                        </w:r>
                      </w:p>
                      <w:p w:rsidR="00885A41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שגורם או עומד לגרום מפגע סביבתי (להלן - גורם המפגע), לעשות אחד או יותר מאלה:</w:t>
                        </w:r>
                      </w:p>
                      <w:p w:rsidR="00885A41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להימנע מהמעשה הגורם או העומד לגרום למפגע הסביבתי, או להפסיק</w:t>
                        </w:r>
                      </w:p>
                      <w:p w:rsidR="00885A41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לעשותו;</w:t>
                        </w:r>
                      </w:p>
                      <w:p w:rsidR="00885A41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לתקן את המעוות או להחזיר את המצב לקדמותו עובר להיווצרות המפגע</w:t>
                        </w:r>
                      </w:p>
                      <w:p w:rsidR="00885A41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הסביבתי (להלן - תיקון המעוות);</w:t>
                        </w:r>
                      </w:p>
                      <w:p w:rsidR="00885A41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לעשות ככל הדרוש כדי למנוע הישנותו של המפגע הסביבתי.</w:t>
                        </w:r>
                      </w:p>
                      <w:p w:rsidR="00885A41" w:rsidRPr="00924123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"מעשה" - לרבות מחדל.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885A41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תובענה להוצאת</w:t>
                        </w:r>
                      </w:p>
                      <w:p w:rsidR="00885A41" w:rsidRPr="00924123" w:rsidRDefault="00885A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</w:t>
                        </w:r>
                      </w:p>
                    </w:tc>
                  </w:tr>
                </w:tbl>
                <w:p w:rsidR="00885A41" w:rsidRDefault="00885A4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527" o:spid="_x0000_s1028" type="#_x0000_t202" style="position:absolute;left:0;text-align:left;margin-left:100.35pt;margin-top:75.8pt;width:337.6pt;height:23.15pt;z-index:1;mso-position-horizontal-relative:page;mso-position-vertical-relative:page" stroked="f">
            <v:textbox style="mso-next-textbox:#_x0000_s39527" inset="0,0,0,0">
              <w:txbxContent>
                <w:p w:rsidR="00885A41" w:rsidRPr="00924123" w:rsidRDefault="00885A41">
                  <w:pPr>
                    <w:pStyle w:val="OCRStyle1"/>
                    <w:ind w:left="11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למניעת מפגעים סביבתיים (תביעות אזרחיות), התשנ"ב-1992*</w:t>
                  </w:r>
                </w:p>
              </w:txbxContent>
            </v:textbox>
            <w10:wrap anchorx="page" anchory="page"/>
          </v:shape>
        </w:pict>
      </w:r>
    </w:p>
    <w:p w:rsidR="00BF0224" w:rsidRDefault="00BF0224">
      <w:pPr>
        <w:rPr>
          <w:rtl/>
        </w:rPr>
      </w:pPr>
      <w:r>
        <w:rPr>
          <w:rtl/>
        </w:rPr>
        <w:br w:type="page"/>
      </w:r>
    </w:p>
    <w:p w:rsidR="00BF0224" w:rsidRDefault="00000000">
      <w:pPr>
        <w:rPr>
          <w:rtl/>
        </w:rPr>
      </w:pPr>
      <w:r>
        <w:pict>
          <v:shape id="_x0000_s3952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528" inset="0,0,0,0">
              <w:txbxContent>
                <w:p w:rsidR="00885A41" w:rsidRDefault="00885A41">
                  <w:r>
                    <w:rPr>
                      <w:rtl/>
                    </w:rPr>
                    <w:t>185                                         ספר החוקים 1394                   ד' בניסן התשנ"ב 07.04.1992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29" o:spid="_x0000_s1030" type="#_x0000_t202" style="position:absolute;left:0;text-align:left;margin-left:402.75pt;margin-top:739.7pt;width:156.6pt;height:13.65pt;z-index:6;mso-position-horizontal-relative:page;mso-position-vertical-relative:page" stroked="f">
            <v:textbox style="mso-next-textbox:#_x0000_s39529" inset="0,0,0,0">
              <w:txbxContent>
                <w:p w:rsidR="00885A41" w:rsidRDefault="00885A4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9530" o:spid="_x0000_s1031" type="#_x0000_t202" style="position:absolute;left:0;text-align:left;margin-left:113.5pt;margin-top:87.1pt;width:453.6pt;height:646.45pt;z-index:5;mso-position-horizontal-relative:page;mso-position-vertical-relative:page" stroked="f">
            <v:textbox style="mso-next-textbox:#_x0000_s3953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7"/>
                    <w:gridCol w:w="7121"/>
                  </w:tblGrid>
                  <w:tr w:rsidR="00885A41" w:rsidRPr="00BF0224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שיקולים במתן</w:t>
                        </w:r>
                      </w:p>
                      <w:p w:rsidR="00885A41" w:rsidRPr="00BF0224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בבואו לתת צו לפי סעיף 2 ישקול בית המשפט הדן בתובענה את מידת הפגיעה שנגרמה או</w:t>
                        </w:r>
                      </w:p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עלולה להיגרם לתובע או לענין הציבורי, לעומת הפגיעה העלולה להיגרם לגורם המפגע או לענין</w:t>
                        </w:r>
                      </w:p>
                      <w:p w:rsidR="00885A41" w:rsidRPr="00BF0224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 עקב הוצאת הצו.</w:t>
                        </w:r>
                      </w:p>
                    </w:tc>
                  </w:tr>
                  <w:tr w:rsidR="00885A41" w:rsidRPr="00BF0224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885A41" w:rsidRPr="00BF0224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התרשלות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בתובענה נגד גורם המפגע לפי חוק זה, אין נפקא מינה אם היתה או לא היתה התרשלות</w:t>
                        </w:r>
                      </w:p>
                      <w:p w:rsidR="00885A41" w:rsidRPr="00BF0224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מצידו.</w:t>
                        </w:r>
                      </w:p>
                    </w:tc>
                  </w:tr>
                  <w:tr w:rsidR="00885A41" w:rsidRPr="00BF0224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הודעות טרם</w:t>
                        </w:r>
                      </w:p>
                      <w:p w:rsidR="00885A41" w:rsidRPr="00BF0224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תובענה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לא יגיש אדם תובענה לפי סעיף 2, אלא לאחר שעברו 60 ימים מהיום שהוא הודיע לרשות</w:t>
                        </w:r>
                      </w:p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ולגורם המפגע על כוונתו להגיש תובענה, והתקיימו שניים אלה:</w:t>
                        </w:r>
                      </w:p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גורם המפגע לא נקט צעדים ממשיים להפסקת המפגע הסביבתי או למניעת</w:t>
                        </w:r>
                      </w:p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הישנותו או לתיקון המעוות, לפי הענין;</w:t>
                        </w:r>
                      </w:p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הרשות לא נקטה צעדים ממשיים על-פי סמכויותיה להפסקת המפגע הסביבתי</w:t>
                        </w:r>
                      </w:p>
                      <w:p w:rsidR="00885A41" w:rsidRPr="00BF0224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למניעת הישנותו או לתיקון המעוות, לפי הענין.</w:t>
                        </w:r>
                      </w:p>
                    </w:tc>
                  </w:tr>
                  <w:tr w:rsidR="00885A41" w:rsidRPr="00BF0224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885A41" w:rsidRPr="00BF0224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 לעמותה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עמותה רשומה שמטרתה העיקרית היא הגנה על איכות הסביבה, זכאית להגיש תובענה,</w:t>
                        </w:r>
                      </w:p>
                      <w:p w:rsidR="00885A41" w:rsidRPr="00BF0224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לפחות אחד מחבריה היה זכאי לכך.</w:t>
                        </w:r>
                      </w:p>
                    </w:tc>
                  </w:tr>
                  <w:tr w:rsidR="00885A41" w:rsidRPr="00BF0224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הסדרת אספקת</w:t>
                        </w:r>
                      </w:p>
                      <w:p w:rsidR="00885A41" w:rsidRPr="00BF0224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היה בצו שנתן בית משפט לגורם מפגע כדי לפגוע בצרכניו של ספק מים, יכנס הצו</w:t>
                        </w:r>
                      </w:p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לתוקף רק לאחר שנציב המים הסדיר אספקת מים תקינה לאותם צרכנים, לתקופת תקפו של הצו.</w:t>
                        </w:r>
                      </w:p>
                      <w:p w:rsidR="00885A41" w:rsidRPr="00BF0224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נציב המים יפעל כאמור בסעיף קטן (א) לא יאוחר מתום 45 ימים מיום מתן הצו.</w:t>
                        </w:r>
                      </w:p>
                    </w:tc>
                  </w:tr>
                  <w:tr w:rsidR="00885A41" w:rsidRPr="00BF0224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885A41" w:rsidRPr="00BF0224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המעוות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ציווה בית המשפט על תיקון המעוות, יקצוב את הזמן לתיקון, ועל גורם המפגע</w:t>
                        </w:r>
                      </w:p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לבצעו: בית המשפט לא יצווה כאמור אלא לאחר שנתן לרשות הזדמנות להשמיע את דברה.</w:t>
                        </w:r>
                      </w:p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הודיעו התובע או הרשות לבית המשפט כי לא בוצע תיקון המעוות כאמור בסעיף</w:t>
                        </w:r>
                      </w:p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יקבע בית המשפט כיצד יתוקן המעוות, לאחר שנתן הזדמנות לתובע, לרשות ולגורם</w:t>
                        </w:r>
                      </w:p>
                      <w:p w:rsidR="00885A41" w:rsidRPr="00BF0224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המפגע להשמיע את דברם, ויחייב את גורם המפגע בהוצאות הכרוכות בביצוע התיקון.</w:t>
                        </w:r>
                      </w:p>
                    </w:tc>
                  </w:tr>
                  <w:tr w:rsidR="00885A41" w:rsidRPr="00BF0224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מפגע סביבתי</w:t>
                        </w:r>
                      </w:p>
                      <w:p w:rsidR="00885A41" w:rsidRPr="00BF0224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בסעיף זה, "מפגע סביבתי חוזר" - אם התקיים אחד מאלה -</w:t>
                        </w:r>
                      </w:p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גורם המפגע חזר לגרום אותו המפגע;</w:t>
                        </w:r>
                      </w:p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גורם המפגע או מי שבית המשפט קבע שעליו לתקן את המעוות, חדלו מתיקון</w:t>
                        </w:r>
                      </w:p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המעוות.</w:t>
                        </w:r>
                      </w:p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נתן בית המשפט צו על פי סעיפים 2 או 8, ותוך שנתיים מהיום שנקבע בצו להפסקת</w:t>
                        </w:r>
                      </w:p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המפגע או לתיקון המעוות, נגרם מפגע סביבתי חוזר, זכאי התובע להגיש תובענה במהלך אותן</w:t>
                        </w:r>
                      </w:p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שנתיים, והוראות סעיף 5 לא יחולו.</w:t>
                        </w:r>
                      </w:p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בתובענה על מפגע סביבתי חוזר רשאי בית משפט לחייב את גורם המפגע לפצות את</w:t>
                        </w:r>
                      </w:p>
                      <w:p w:rsidR="00885A41" w:rsidRPr="00BF0224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 על נזקים שנגרמו לו עקב המפגע הסביבתי החוזר.</w:t>
                        </w:r>
                      </w:p>
                    </w:tc>
                  </w:tr>
                  <w:tr w:rsidR="00885A41" w:rsidRPr="00BF0224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885A41" w:rsidRPr="00BF0224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תובענה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מי שנפגע או עומד להיפגע ממפגע סביבתי רשאי לתבוע הוצאת צו כאמור בסעיף 2 בשם</w:t>
                        </w:r>
                      </w:p>
                      <w:p w:rsidR="00885A41" w:rsidRPr="00BF0224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קבוצת אנשים שנפגעו או עומדים להיפגע מאותו מפגע (להלן - תובענה ייצוגית).</w:t>
                        </w:r>
                      </w:p>
                    </w:tc>
                  </w:tr>
                  <w:tr w:rsidR="00885A41" w:rsidRPr="00BF0224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לתובענה</w:t>
                        </w:r>
                      </w:p>
                      <w:p w:rsidR="00885A41" w:rsidRPr="00BF0224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ייצוגית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בית משפט רשאי להורות שתובענה שהוגשה לפי סעיף 10 לא תנוהל כתובענה</w:t>
                        </w:r>
                      </w:p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ייצוגית אם שוכנע שנתקיים אחד מאלה:</w:t>
                        </w:r>
                      </w:p>
                      <w:p w:rsidR="00885A41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התובענה הוגשה שלא בתום לב;</w:t>
                        </w:r>
                      </w:p>
                      <w:p w:rsidR="00885A41" w:rsidRPr="00BF0224" w:rsidRDefault="00885A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גודלה של הקבוצה אינו מצדיק הגשת התובענה כתובענה ייצוגית;</w:t>
                        </w:r>
                      </w:p>
                    </w:tc>
                  </w:tr>
                </w:tbl>
                <w:p w:rsidR="00885A41" w:rsidRDefault="00885A4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13D30" w:rsidRDefault="00D13D30">
      <w:pPr>
        <w:rPr>
          <w:rtl/>
        </w:rPr>
      </w:pPr>
      <w:r>
        <w:rPr>
          <w:rtl/>
        </w:rPr>
        <w:br w:type="page"/>
      </w:r>
    </w:p>
    <w:p w:rsidR="00D13D30" w:rsidRDefault="00000000">
      <w:pPr>
        <w:rPr>
          <w:rtl/>
        </w:rPr>
      </w:pPr>
      <w:r>
        <w:pict>
          <v:shape id="_x0000_s39531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9531" inset="0,0,0,0">
              <w:txbxContent>
                <w:p w:rsidR="00885A41" w:rsidRDefault="00885A41">
                  <w:r>
                    <w:rPr>
                      <w:rtl/>
                    </w:rPr>
                    <w:t>186                                         ספר החוקים 1394                   ד' בניסן התשנ"ב 07.04.1992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32" o:spid="_x0000_s1033" type="#_x0000_t202" style="position:absolute;left:0;text-align:left;margin-left:78.6pt;margin-top:732.25pt;width:158.4pt;height:22.35pt;z-index:10;mso-position-horizontal-relative:page;mso-position-vertical-relative:page" stroked="f">
            <v:textbox style="mso-next-textbox:#_x0000_s39532" inset="0,0,0,0">
              <w:txbxContent>
                <w:p w:rsidR="00885A41" w:rsidRDefault="00885A4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9533" o:spid="_x0000_s1034" type="#_x0000_t202" style="position:absolute;left:0;text-align:left;margin-left:345.5pt;margin-top:695.2pt;width:100.6pt;height:30.1pt;z-index:9;mso-position-horizontal-relative:page;mso-position-vertical-relative:page" stroked="f">
            <v:textbox style="mso-next-textbox:#_x0000_s39533" inset="0,0,0,0">
              <w:txbxContent>
                <w:p w:rsidR="00885A41" w:rsidRDefault="00885A41">
                  <w:pPr>
                    <w:pStyle w:val="OCRStyle3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9 ק"ת התשמ"ד, עמ' 2220.</w:t>
                  </w:r>
                </w:p>
                <w:p w:rsidR="00885A41" w:rsidRPr="00D13D30" w:rsidRDefault="00885A41">
                  <w:pPr>
                    <w:pStyle w:val="OCRStyle3"/>
                    <w:ind w:left="22"/>
                  </w:pPr>
                  <w:r>
                    <w:rPr>
                      <w:rtl/>
                    </w:rPr>
                    <w:t>10 ם"ח התשכ"א, עמ' .58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34" o:spid="_x0000_s1035" type="#_x0000_t202" style="position:absolute;left:0;text-align:left;margin-left:76.05pt;margin-top:89.95pt;width:457.2pt;height:600.15pt;z-index:8;mso-position-horizontal-relative:page;mso-position-vertical-relative:page" stroked="f">
            <v:textbox style="mso-next-textbox:#_x0000_s3953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0"/>
                    <w:gridCol w:w="1149"/>
                    <w:gridCol w:w="1443"/>
                  </w:tblGrid>
                  <w:tr w:rsidR="00885A41">
                    <w:trPr>
                      <w:jc w:val="right"/>
                    </w:trPr>
                    <w:tc>
                      <w:tcPr>
                        <w:tcW w:w="4132" w:type="pct"/>
                        <w:gridSpan w:val="2"/>
                      </w:tcPr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קיים יסוד סביר להניח כי התובע אינו מייצג בדרך הולמת את ענינם של כל</w:t>
                        </w:r>
                      </w:p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הקבוצה;</w:t>
                        </w:r>
                      </w:p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משפט רשאי להתנות ניהול תובענה כתובענה ייצוגית בתנאים הנראים לו</w:t>
                        </w:r>
                      </w:p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ראויים כדי להבטיח הליך הוגן ויעיל, לצורך הכרעה בשאלות המשותפות לכל המעונינים.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85A41" w:rsidRPr="00D13D30">
                    <w:trPr>
                      <w:jc w:val="right"/>
                    </w:trPr>
                    <w:tc>
                      <w:tcPr>
                        <w:tcW w:w="4132" w:type="pct"/>
                        <w:gridSpan w:val="2"/>
                      </w:tcPr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משהוגשה תובענה ייצוגית, יגדיר בית המשפט תחילה את הקבוצה, ויודיע לחברי</w:t>
                        </w:r>
                      </w:p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הקבוצה על הגשת התובענה כהמצאה אישית, או במידה שהמצאה אישית אינה מעשית, במודעה</w:t>
                        </w:r>
                      </w:p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פומבית כפי שייראה לבית המשפט.</w:t>
                        </w:r>
                      </w:p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רואים את התובענה כאילו הוגשה כשם כל מי שנמנה עם קבוצת האנשים האמורה,</w:t>
                        </w:r>
                      </w:p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שהביע בכתב את רצונו להצטרף לתובענה.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הקבוצה</w:t>
                        </w:r>
                      </w:p>
                      <w:p w:rsidR="00885A41" w:rsidRPr="00D13D30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והודעה</w:t>
                        </w:r>
                      </w:p>
                    </w:tc>
                  </w:tr>
                  <w:tr w:rsidR="00885A41" w:rsidRPr="00D13D30">
                    <w:trPr>
                      <w:jc w:val="right"/>
                    </w:trPr>
                    <w:tc>
                      <w:tcPr>
                        <w:tcW w:w="4132" w:type="pct"/>
                        <w:gridSpan w:val="2"/>
                      </w:tcPr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תובע לא יסתלק מתובענה ייצוגית, ולא יעשה הסדר או פשרה עם הנתבע, אלא באישור</w:t>
                        </w:r>
                      </w:p>
                      <w:p w:rsidR="00885A41" w:rsidRPr="00D13D30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885A41" w:rsidRPr="00D13D30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או פשרה</w:t>
                        </w:r>
                      </w:p>
                    </w:tc>
                  </w:tr>
                  <w:tr w:rsidR="00885A41" w:rsidRPr="00D13D30">
                    <w:trPr>
                      <w:jc w:val="right"/>
                    </w:trPr>
                    <w:tc>
                      <w:tcPr>
                        <w:tcW w:w="4132" w:type="pct"/>
                        <w:gridSpan w:val="2"/>
                      </w:tcPr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על הגשת תובענה לפי חוק זה וניהולה יחולו תקנות סדר הדין האזרחי,</w:t>
                        </w:r>
                      </w:p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התשמ"ד-91984, בשינויים המחוייבים, אלא אם כן קבע שר המשפטים אחרת.</w:t>
                        </w:r>
                      </w:p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 בית המשפט הוצאות למי שהגיש תובענה ייצוגית, רשאי הוא לקבוע כי</w:t>
                        </w:r>
                      </w:p>
                      <w:p w:rsidR="00885A41" w:rsidRPr="00D13D30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ישולמו, כולן או מקצתן, לתובע שטרח בהגשת התובענה ובהוכחתה.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סדר הדין</w:t>
                        </w:r>
                      </w:p>
                      <w:p w:rsidR="00885A41" w:rsidRPr="00D13D30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והוצאות</w:t>
                        </w:r>
                      </w:p>
                    </w:tc>
                  </w:tr>
                  <w:tr w:rsidR="00885A41" w:rsidRPr="00D13D30">
                    <w:trPr>
                      <w:jc w:val="right"/>
                    </w:trPr>
                    <w:tc>
                      <w:tcPr>
                        <w:tcW w:w="4132" w:type="pct"/>
                        <w:gridSpan w:val="2"/>
                      </w:tcPr>
                      <w:p w:rsidR="00885A41" w:rsidRPr="00D13D30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בערעור על צו של בית משפט לפי חוק זה ידון בית משפט מחוזי כדן יחיד.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885A41" w:rsidRPr="00D13D30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885A41" w:rsidRPr="00D13D30">
                    <w:trPr>
                      <w:jc w:val="right"/>
                    </w:trPr>
                    <w:tc>
                      <w:tcPr>
                        <w:tcW w:w="4132" w:type="pct"/>
                        <w:gridSpan w:val="2"/>
                      </w:tcPr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מקום שמדובר בחוק זה בגרימת מעשה, והמעשה נעשה על ידי תאגיד, רואים אדם כאחראי</w:t>
                        </w:r>
                      </w:p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מעשה גם אם היה אותה שעה מנהל פעיל בתאגיד, שותף - למעט שותף מוגבל, או עובד</w:t>
                        </w:r>
                      </w:p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בכיר האחראי לנושא הנדון, אלא אם כן הוכיח שניים אלה:</w:t>
                        </w:r>
                      </w:p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המעשה נעשה שלא בידיעתו-</w:t>
                        </w:r>
                      </w:p>
                      <w:p w:rsidR="00885A41" w:rsidRPr="00D13D30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נקט את כל האמצעים הסבירים למנוע את המעשה.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נושאי</w:t>
                        </w:r>
                      </w:p>
                      <w:p w:rsidR="00885A41" w:rsidRPr="00D13D30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משרה בתאגיד</w:t>
                        </w:r>
                      </w:p>
                    </w:tc>
                  </w:tr>
                  <w:tr w:rsidR="00885A41" w:rsidRPr="00D13D30">
                    <w:trPr>
                      <w:jc w:val="right"/>
                    </w:trPr>
                    <w:tc>
                      <w:tcPr>
                        <w:tcW w:w="4132" w:type="pct"/>
                        <w:gridSpan w:val="2"/>
                      </w:tcPr>
                      <w:p w:rsidR="00885A41" w:rsidRPr="00D13D30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הוראות חוק זה באות להוסיף על הוראות כל חיקוק אחר ולא לגרוע מהן.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885A41" w:rsidRPr="00D13D30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885A41" w:rsidRPr="00D13D30">
                    <w:trPr>
                      <w:jc w:val="right"/>
                    </w:trPr>
                    <w:tc>
                      <w:tcPr>
                        <w:tcW w:w="4132" w:type="pct"/>
                        <w:gridSpan w:val="2"/>
                      </w:tcPr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השר לאיכות הסביבה ממונה על ביצוע חוק זה והוא רשאי להתקין תקנות לביצועו, למעט</w:t>
                        </w:r>
                      </w:p>
                      <w:p w:rsidR="00885A41" w:rsidRPr="00D13D30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שענינן סדרי דין.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885A41" w:rsidRPr="00D13D30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885A41" w:rsidRPr="00D13D30">
                    <w:trPr>
                      <w:jc w:val="right"/>
                    </w:trPr>
                    <w:tc>
                      <w:tcPr>
                        <w:tcW w:w="4132" w:type="pct"/>
                        <w:gridSpan w:val="2"/>
                      </w:tcPr>
                      <w:p w:rsidR="00885A41" w:rsidRPr="00D13D30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בחוק למניעת מפגעים, התשכ"א-101961, אחרי סעיף 11 יבוא:</w:t>
                        </w:r>
                      </w:p>
                    </w:tc>
                    <w:tc>
                      <w:tcPr>
                        <w:tcW w:w="868" w:type="pct"/>
                        <w:vMerge w:val="restart"/>
                      </w:tcPr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85A41" w:rsidRPr="00D13D30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מפגעים</w:t>
                        </w:r>
                      </w:p>
                    </w:tc>
                  </w:tr>
                  <w:tr w:rsidR="00885A41">
                    <w:trPr>
                      <w:jc w:val="right"/>
                    </w:trPr>
                    <w:tc>
                      <w:tcPr>
                        <w:tcW w:w="3441" w:type="pct"/>
                      </w:tcPr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א. (א) שוטר רשאי לנקוט אמצעים על מנת להפסיק רעש הנגרם</w:t>
                        </w:r>
                      </w:p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ממכשיר אזעקה המותקן בכלי רכב והנמשך למעלה מ-20 דקות.</w:t>
                        </w:r>
                      </w:p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זה, "נקיטת אמצעים" - לרבות פירוק או פגיעה בחלקים של הרכב או</w:t>
                        </w:r>
                      </w:p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מערכת האזעקה, פריצה לרכב או גרירתו.</w:t>
                        </w:r>
                      </w:p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נפתחה מכונית תוך נקיטת אמצעים כאמור בסעיף קטן (א), לא יהיה</w:t>
                        </w:r>
                      </w:p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המשטרה או על השוטר שגרם לפתיחת המכונית להציב שמירה ליד</w:t>
                        </w:r>
                      </w:p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המכונית.</w:t>
                        </w:r>
                      </w:p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שוטר לא ישא באחריות בנזיקין על מעשה שעשה לפי סעיף זה,</w:t>
                        </w:r>
                      </w:p>
                      <w:p w:rsidR="00885A41" w:rsidRPr="00D13D30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לב.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לענין</w:t>
                        </w:r>
                      </w:p>
                      <w:p w:rsidR="00885A41" w:rsidRPr="00D13D30" w:rsidRDefault="00885A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אזעקות כרכב</w:t>
                        </w:r>
                      </w:p>
                    </w:tc>
                    <w:tc>
                      <w:tcPr>
                        <w:tcW w:w="868" w:type="pct"/>
                        <w:vMerge/>
                      </w:tcPr>
                      <w:p w:rsidR="00885A41" w:rsidRDefault="00885A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85A41" w:rsidRDefault="00885A4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85A41" w:rsidRDefault="00885A41">
      <w:pPr>
        <w:rPr>
          <w:rtl/>
        </w:rPr>
      </w:pPr>
      <w:r>
        <w:rPr>
          <w:rtl/>
        </w:rPr>
        <w:br w:type="page"/>
      </w:r>
    </w:p>
    <w:p w:rsidR="00885A41" w:rsidRDefault="00000000">
      <w:pPr>
        <w:rPr>
          <w:rtl/>
        </w:rPr>
      </w:pPr>
      <w:r>
        <w:pict>
          <v:shape id="_x0000_s39535" o:spid="_x0000_s1036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39535" inset="0,0,0,0">
              <w:txbxContent>
                <w:p w:rsidR="00885A41" w:rsidRDefault="00885A41">
                  <w:r>
                    <w:rPr>
                      <w:rtl/>
                    </w:rPr>
                    <w:t>187                                         ספר החוקים 1394                   ד' בניסן התשנ"ב 07.04.1992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36" o:spid="_x0000_s1037" type="#_x0000_t202" style="position:absolute;left:0;text-align:left;margin-left:382.55pt;margin-top:255pt;width:182.35pt;height:29.3pt;z-index:17;mso-position-horizontal-relative:page;mso-position-vertical-relative:page" stroked="f">
            <v:textbox style="mso-next-textbox:#_x0000_s39536" inset="0,0,0,0">
              <w:txbxContent>
                <w:p w:rsidR="00885A41" w:rsidRPr="00885A41" w:rsidRDefault="00885A41">
                  <w:pPr>
                    <w:pStyle w:val="OCRStyle4"/>
                    <w:ind w:left="198"/>
                  </w:pPr>
                  <w:r>
                    <w:rPr>
                      <w:rtl/>
                    </w:rPr>
                    <w:t>11 דיני מדינת ישראל, נוסח חדש 7, עמ' 173.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37" o:spid="_x0000_s1038" type="#_x0000_t202" style="position:absolute;left:0;text-align:left;margin-left:175.85pt;margin-top:175pt;width:105.15pt;height:36.05pt;z-index:16;mso-position-horizontal-relative:page;mso-position-vertical-relative:page" stroked="f">
            <v:textbox style="mso-next-textbox:#_x0000_s39537" inset="0,0,0,0">
              <w:txbxContent>
                <w:p w:rsidR="00885A41" w:rsidRDefault="00885A41">
                  <w:pPr>
                    <w:pStyle w:val="OCRStyle4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85A41" w:rsidRDefault="00885A41">
                  <w:pPr>
                    <w:pStyle w:val="OCRStyle4"/>
                    <w:ind w:left="83"/>
                  </w:pPr>
                  <w:r>
                    <w:rPr>
                      <w:rtl/>
                    </w:rPr>
                    <w:t>השר לאיכות הסביבה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38" o:spid="_x0000_s1039" type="#_x0000_t202" style="position:absolute;left:0;text-align:left;margin-left:280.95pt;margin-top:208.45pt;width:95.45pt;height:28.5pt;z-index:15;mso-position-horizontal-relative:page;mso-position-vertical-relative:page" stroked="f">
            <v:textbox style="mso-next-textbox:#_x0000_s39538" inset="0,0,0,0">
              <w:txbxContent>
                <w:p w:rsidR="00885A41" w:rsidRDefault="00885A41">
                  <w:pPr>
                    <w:pStyle w:val="OCRStyle4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885A41" w:rsidRDefault="00885A41">
                  <w:pPr>
                    <w:pStyle w:val="OCRStyle4"/>
                    <w:ind w:left="25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39" o:spid="_x0000_s1040" type="#_x0000_t202" style="position:absolute;left:0;text-align:left;margin-left:390.25pt;margin-top:177.55pt;width:72.25pt;height:30.9pt;z-index:14;mso-position-horizontal-relative:page;mso-position-vertical-relative:page" stroked="f">
            <v:textbox style="mso-next-textbox:#_x0000_s39539" inset="0,0,0,0">
              <w:txbxContent>
                <w:p w:rsidR="00885A41" w:rsidRDefault="00885A41">
                  <w:pPr>
                    <w:pStyle w:val="OCRStyle4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85A41" w:rsidRDefault="00885A41">
                  <w:pPr>
                    <w:pStyle w:val="OCRStyle4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40" o:spid="_x0000_s1041" type="#_x0000_t202" style="position:absolute;left:0;text-align:left;margin-left:477.95pt;margin-top:206.65pt;width:82.75pt;height:32.85pt;z-index:13;mso-position-horizontal-relative:page;mso-position-vertical-relative:page" stroked="f">
            <v:textbox style="mso-next-textbox:#_x0000_s39540" inset="0,0,0,0">
              <w:txbxContent>
                <w:p w:rsidR="00885A41" w:rsidRDefault="00885A41">
                  <w:pPr>
                    <w:pStyle w:val="OCRStyle4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85A41" w:rsidRDefault="00885A41">
                  <w:pPr>
                    <w:pStyle w:val="OCRStyle4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41" o:spid="_x0000_s1042" type="#_x0000_t202" style="position:absolute;left:0;text-align:left;margin-left:140.6pt;margin-top:76.8pt;width:420.95pt;height:95.45pt;z-index:12;mso-position-horizontal-relative:page;mso-position-vertical-relative:page" stroked="f">
            <v:textbox style="mso-next-textbox:#_x0000_s39541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76"/>
                    <w:gridCol w:w="6978"/>
                  </w:tblGrid>
                  <w:tr w:rsidR="00885A41">
                    <w:trPr>
                      <w:jc w:val="right"/>
                    </w:trPr>
                    <w:tc>
                      <w:tcPr>
                        <w:tcW w:w="440" w:type="pct"/>
                      </w:tcPr>
                      <w:p w:rsidR="00885A41" w:rsidRDefault="00885A4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560" w:type="pct"/>
                      </w:tcPr>
                      <w:p w:rsidR="00885A41" w:rsidRDefault="00885A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הוצאות הגרירה וההחסנה של כלי רכב שנגרר לפי סעיף קטן (א)</w:t>
                        </w:r>
                      </w:p>
                      <w:p w:rsidR="00885A41" w:rsidRDefault="00885A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בעל הרכב כאמור בסעיף 70א(3 ) לפקודת התעבורה11."</w:t>
                        </w:r>
                      </w:p>
                    </w:tc>
                  </w:tr>
                  <w:tr w:rsidR="00885A41" w:rsidRPr="00885A41">
                    <w:trPr>
                      <w:jc w:val="right"/>
                    </w:trPr>
                    <w:tc>
                      <w:tcPr>
                        <w:tcW w:w="440" w:type="pct"/>
                      </w:tcPr>
                      <w:p w:rsidR="00885A41" w:rsidRPr="00885A41" w:rsidRDefault="00885A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560" w:type="pct"/>
                      </w:tcPr>
                      <w:p w:rsidR="00885A41" w:rsidRPr="00885A41" w:rsidRDefault="00885A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תחילתו של חוק זה ששה חדשים מיום פרסומו.</w:t>
                        </w:r>
                      </w:p>
                    </w:tc>
                  </w:tr>
                  <w:tr w:rsidR="00885A41" w:rsidRPr="00885A41">
                    <w:trPr>
                      <w:jc w:val="right"/>
                    </w:trPr>
                    <w:tc>
                      <w:tcPr>
                        <w:tcW w:w="440" w:type="pct"/>
                      </w:tcPr>
                      <w:p w:rsidR="00885A41" w:rsidRPr="00885A41" w:rsidRDefault="00885A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560" w:type="pct"/>
                      </w:tcPr>
                      <w:p w:rsidR="00885A41" w:rsidRPr="00885A41" w:rsidRDefault="00885A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חוק זה יפורסם תוך שלושים ימים מיום קבלתו.</w:t>
                        </w:r>
                      </w:p>
                    </w:tc>
                  </w:tr>
                </w:tbl>
                <w:p w:rsidR="00885A41" w:rsidRDefault="00885A4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2412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434FAEA-1211-43DD-BF93-D829706D8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2412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F022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13D30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885A4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25</Characters>
  <Application>Microsoft Office Word</Application>
  <DocSecurity>4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2008-04-07T13:08:00Z</dcterms:created>
  <dcterms:modified xsi:type="dcterms:W3CDTF">2008-04-07T13:09:00Z</dcterms:modified>
</cp:coreProperties>
</file>