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007F" w:rsidRDefault="0082007F">
      <w:pPr>
        <w:rPr>
          <w:rtl/>
        </w:rPr>
      </w:pPr>
    </w:p>
    <w:p w:rsidR="0082007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56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9566" inset="0,0,0,0">
              <w:txbxContent>
                <w:p w:rsidR="0082007F" w:rsidRDefault="0082007F">
                  <w:r>
                    <w:rPr>
                      <w:rtl/>
                    </w:rPr>
                    <w:t>142                                         ספר החוקים 1315                   כ"ח באייר התש"נ 23.05.1990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67" o:spid="_x0000_s1026" type="#_x0000_t202" style="position:absolute;left:0;text-align:left;margin-left:84.65pt;margin-top:698.75pt;width:166.9pt;height:41.2pt;z-index:8;mso-wrap-style:none;mso-position-horizontal-relative:page;mso-position-vertical-relative:page" stroked="f">
            <v:textbox style="mso-next-textbox:#_x0000_s39567" inset="0,0,0,0">
              <w:txbxContent>
                <w:p w:rsidR="0082007F" w:rsidRDefault="008200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568" o:spid="_x0000_s1027" type="#_x0000_t202" style="position:absolute;left:0;text-align:left;margin-left:85.45pt;margin-top:516.95pt;width:381.35pt;height:45.75pt;z-index:7;mso-wrap-style:none;mso-position-horizontal-relative:page;mso-position-vertical-relative:page" stroked="f">
            <v:textbox style="mso-next-textbox:#_x0000_s39568" inset="0,0,0,0">
              <w:txbxContent>
                <w:p w:rsidR="0082007F" w:rsidRDefault="0082007F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באייר התש"ו (14 במאי 1990); הצעת החוק ודברי הסכר פורסמו בהצעות חוק 1990, מיום</w:t>
                  </w:r>
                </w:p>
                <w:p w:rsidR="0082007F" w:rsidRDefault="0082007F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י"ב באייר התש"ו (7 במאי 1990), עמ' 187.</w:t>
                  </w:r>
                </w:p>
                <w:p w:rsidR="0082007F" w:rsidRDefault="0082007F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1 ס"ח התשמ''ב, עמ' 218: התשמ"ג, עמ' 4: התשמ"ד, עמ' 167: התשמ"ו, עמ' 100 ועמ' 224; התשמ"ח, עמ' 174:</w:t>
                  </w:r>
                </w:p>
                <w:p w:rsidR="0082007F" w:rsidRPr="0082007F" w:rsidRDefault="0082007F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התשמ"ט, עמ' .104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69" o:spid="_x0000_s1028" type="#_x0000_t202" style="position:absolute;left:0;text-align:left;margin-left:97.35pt;margin-top:435.4pt;width:68.3pt;height:35.85pt;z-index:6;mso-wrap-style:none;mso-position-horizontal-relative:page;mso-position-vertical-relative:page" stroked="f">
            <v:textbox style="mso-next-textbox:#_x0000_s39569" inset="0,0,0,0">
              <w:txbxContent>
                <w:p w:rsidR="0082007F" w:rsidRDefault="0082007F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2007F" w:rsidRDefault="0082007F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70" o:spid="_x0000_s1029" type="#_x0000_t202" style="position:absolute;left:0;text-align:left;margin-left:188.05pt;margin-top:469.65pt;width:84.95pt;height:27.3pt;z-index:5;mso-wrap-style:none;mso-position-horizontal-relative:page;mso-position-vertical-relative:page" stroked="f">
            <v:textbox style="mso-next-textbox:#_x0000_s39570" inset="0,0,0,0">
              <w:txbxContent>
                <w:p w:rsidR="0082007F" w:rsidRDefault="0082007F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82007F" w:rsidRDefault="0082007F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יושב-ראש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71" o:spid="_x0000_s1030" type="#_x0000_t202" style="position:absolute;left:0;text-align:left;margin-left:286.05pt;margin-top:440.35pt;width:72.25pt;height:29.3pt;z-index:4;mso-wrap-style:none;mso-position-horizontal-relative:page;mso-position-vertical-relative:page" stroked="f">
            <v:textbox style="mso-next-textbox:#_x0000_s39571" inset="0,0,0,0">
              <w:txbxContent>
                <w:p w:rsidR="0082007F" w:rsidRDefault="0082007F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2007F" w:rsidRDefault="0082007F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72" o:spid="_x0000_s1031" type="#_x0000_t202" style="position:absolute;left:0;text-align:left;margin-left:377.3pt;margin-top:466.3pt;width:79.2pt;height:31.9pt;z-index:3;mso-wrap-style:none;mso-position-horizontal-relative:page;mso-position-vertical-relative:page" stroked="f">
            <v:textbox style="mso-next-textbox:#_x0000_s39572" inset="0,0,0,0">
              <w:txbxContent>
                <w:p w:rsidR="0082007F" w:rsidRDefault="0082007F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2007F" w:rsidRDefault="0082007F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73" o:spid="_x0000_s1032" type="#_x0000_t202" style="position:absolute;left:0;text-align:left;margin-left:83.9pt;margin-top:99.2pt;width:455.4pt;height:333.65pt;z-index:2;mso-wrap-style:none;mso-position-horizontal-relative:page;mso-position-vertical-relative:page" stroked="f">
            <v:textbox style="mso-next-textbox:#_x0000_s39573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5"/>
                    <w:gridCol w:w="1224"/>
                  </w:tblGrid>
                  <w:tr w:rsidR="0082007F" w:rsidRPr="0082007F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82007F" w:rsidRDefault="0082007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5(א) לחוק הבוק, התשמ"ב-1982 1( להלן - החוק העיקרי), בסופו יבוא: "הוראות</w:t>
                        </w:r>
                      </w:p>
                      <w:p w:rsid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יחולו, בשינויים המחוייבים, גם לענין ביצוע שידורים בידי בעל וכיון, כהגדרתם של</w:t>
                        </w:r>
                      </w:p>
                      <w:p w:rsidR="0082007F" w:rsidRP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בסעיף 6א".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82007F" w:rsidRP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82007F" w:rsidRPr="0082007F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15 לחוק העיקרי -</w:t>
                        </w:r>
                      </w:p>
                      <w:p w:rsid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סעיף קטן (א) יבוא:</w:t>
                        </w:r>
                      </w:p>
                      <w:p w:rsid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השר, בהסכמת שר האוצר ובאישור ועדת הכספים של הכנסת, רשאי</w:t>
                        </w:r>
                      </w:p>
                      <w:p w:rsid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-</w:t>
                        </w:r>
                      </w:p>
                      <w:p w:rsid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תשלומים בעד השירותים המנויים כתוספת הניתנים בידי בעל</w:t>
                        </w:r>
                      </w:p>
                      <w:p w:rsid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רשיון;</w:t>
                        </w:r>
                      </w:p>
                      <w:p w:rsid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דרכים לחישוב התשלומים בעד שירותים המנויים כתוספת הניתנים</w:t>
                        </w:r>
                      </w:p>
                      <w:p w:rsid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מרכיביהם של כל אלה והיחסים ביניהם: תקנות כאמור יחולו,</w:t>
                        </w:r>
                      </w:p>
                      <w:p w:rsid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המחוייבים, גם לענין אופן קביעת תשלומים לפי סעיף קטן</w:t>
                        </w:r>
                      </w:p>
                      <w:p w:rsid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(ג)":</w:t>
                        </w:r>
                      </w:p>
                      <w:p w:rsid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אחרי "בדבר" יבוא "אופן" ובמקום הסיפה המתחילה במלים</w:t>
                        </w:r>
                      </w:p>
                      <w:p w:rsid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"לשער היציג" יבוא: "למדד כאמור, לשער יציג של מטבע חוץ, לסל שערים, או</w:t>
                        </w:r>
                      </w:p>
                      <w:p w:rsid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לצירוף של אחדים מאלה או כולם, ובלבד שיש להם השפעה על עלות שירותי הבזק</w:t>
                        </w:r>
                      </w:p>
                      <w:p w:rsid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הבינלאומיים; הצמדה לענין סעיף קטן זה תיעשה בניכוי שיעור שייקבע בתקנות</w:t>
                        </w:r>
                      </w:p>
                      <w:p w:rsidR="0082007F" w:rsidRP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התייעלות".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82007F" w:rsidRP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82007F" w:rsidRPr="0082007F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התקין השר תקנות בתוקף סמכותו לפי סעיף 15(א)(2) לחוק העיקרי, לא ישנה אותן עד</w:t>
                        </w:r>
                      </w:p>
                      <w:p w:rsidR="0082007F" w:rsidRP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י"ז בטבת התשנ"ד (31 בדצמבר 1993).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82007F" w:rsidRPr="0082007F" w:rsidRDefault="008200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82007F" w:rsidRDefault="008200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574" o:spid="_x0000_s1033" type="#_x0000_t202" style="position:absolute;left:0;text-align:left;margin-left:170.4pt;margin-top:69.1pt;width:216.8pt;height:23.95pt;z-index:1;mso-wrap-style:none;mso-position-horizontal-relative:page;mso-position-vertical-relative:page" stroked="f">
            <v:textbox style="mso-next-textbox:#_x0000_s39574" inset="0,0,0,0">
              <w:txbxContent>
                <w:p w:rsidR="0082007F" w:rsidRPr="0082007F" w:rsidRDefault="0082007F">
                  <w:pPr>
                    <w:pStyle w:val="OCRStyle1"/>
                    <w:ind w:left="22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הבזק (תיקון מס' 7), התש"ן-1990*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2007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75A0426-E35E-4ECF-B0EF-F530E588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007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2008-04-07T03:40:00Z</dcterms:created>
  <dcterms:modified xsi:type="dcterms:W3CDTF">2008-04-07T03:40:00Z</dcterms:modified>
</cp:coreProperties>
</file>