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16FD" w:rsidRDefault="004C16FD">
      <w:pPr>
        <w:rPr>
          <w:rtl/>
        </w:rPr>
      </w:pPr>
    </w:p>
    <w:p w:rsidR="004C16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760" inset="0,0,0,0">
              <w:txbxContent>
                <w:p w:rsidR="007A5CF7" w:rsidRDefault="007A5CF7">
                  <w:r>
                    <w:rPr>
                      <w:rtl/>
                    </w:rPr>
                    <w:t>90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61" o:spid="_x0000_s1026" type="#_x0000_t202" style="position:absolute;left:0;text-align:left;margin-left:83.95pt;margin-top:641.75pt;width:393.6pt;height:64.35pt;z-index:3;mso-position-horizontal-relative:page;mso-position-vertical-relative:page" stroked="f">
            <v:textbox style="mso-next-textbox:#_x0000_s39761" inset="0,0,0,0">
              <w:txbxContent>
                <w:p w:rsidR="007A5CF7" w:rsidRDefault="007A5CF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ביום כ"ח בשבט התשנ"א (12 בפברואר 1991); הצעת החוק ודברי הסבר פורסמו בהצעות חוק 1998, מיום ב'</w:t>
                  </w:r>
                </w:p>
                <w:p w:rsidR="007A5CF7" w:rsidRDefault="007A5CF7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בתמוז התש"ו (25 ביוני 1990), עמ' 210.</w:t>
                  </w:r>
                </w:p>
                <w:p w:rsidR="007A5CF7" w:rsidRDefault="007A5CF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התשי"ח, עמ' 69: התשי"ט, עמ' 146, עמ' 158 ועמ' 210: התשכ"ז, עמ' 24: התשל"ד, עמ' 108: התשי'ם, עמ' 160:</w:t>
                  </w:r>
                </w:p>
                <w:p w:rsidR="007A5CF7" w:rsidRDefault="007A5CF7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התשמ"א, עמ' 168 ועמ' 168; התשמ"ה, עמ' 196: התשמ"ז, עמ' 110: התש"ן, עמ' .196</w:t>
                  </w:r>
                </w:p>
                <w:p w:rsidR="007A5CF7" w:rsidRPr="004C16FD" w:rsidRDefault="007A5CF7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 xml:space="preserve"> ס"ח התשכ"ט, עמ' 103; התש"ן,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62" o:spid="_x0000_s1027" type="#_x0000_t202" style="position:absolute;left:0;text-align:left;margin-left:77.65pt;margin-top:88.55pt;width:477pt;height:544.1pt;z-index:2;mso-position-horizontal-relative:page;mso-position-vertical-relative:page" stroked="f">
            <v:textbox style="mso-next-textbox:#_x0000_s3976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3"/>
                    <w:gridCol w:w="1225"/>
                    <w:gridCol w:w="1457"/>
                  </w:tblGrid>
                  <w:tr w:rsidR="007A5CF7" w:rsidRPr="004C16FD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7A5CF7" w:rsidRPr="004C16FD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6 לחוק-יסוד: הכנסת, יבוא:</w:t>
                        </w:r>
                      </w:p>
                    </w:tc>
                    <w:tc>
                      <w:tcPr>
                        <w:tcW w:w="840" w:type="pct"/>
                      </w:tcPr>
                      <w:p w:rsidR="007A5CF7" w:rsidRPr="004C16FD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7A5CF7">
                    <w:trPr>
                      <w:jc w:val="right"/>
                    </w:trPr>
                    <w:tc>
                      <w:tcPr>
                        <w:tcW w:w="3454" w:type="pct"/>
                      </w:tcPr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חבר הכנסת שפרש מסיעתו ולא התפטר מכהונתו סמוך לפרישתו,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ייכלל, בבחירות לכנסת שלאחריה, ברשימת מועמדים שהגישה סיעה של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היוצאת; הוראה זו לא תחול על התפלגות סיעה בתנאים שנקבעו בחוק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לכנסת.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"פרישה מסיעה" - לרבות הצבעה במליאת הכנסת שלא בהתאם לעמדת הסיעה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הבעת אמון לממשלה או אי-אמון בה: ואולם הצבעה כאמור לא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כפרישה אם חבר הכנסת לא קיבל כל תמורה בעד הצבעתו: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"תמורה" - במישרין או בעקיפין, בהבטחה או בהתחייבות לעתיד, ולרבות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מקום ברשימת מועמדים לכנסת, או מינוי חבר-הכנסת עצמו או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לתפקיד כלשהו."</w:t>
                        </w:r>
                      </w:p>
                    </w:tc>
                    <w:tc>
                      <w:tcPr>
                        <w:tcW w:w="706" w:type="pct"/>
                      </w:tcPr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למועמדות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</w:t>
                        </w:r>
                      </w:p>
                      <w:p w:rsidR="007A5CF7" w:rsidRPr="004C16FD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שפרש מסיעתו</w:t>
                        </w:r>
                      </w:p>
                    </w:tc>
                    <w:tc>
                      <w:tcPr>
                        <w:tcW w:w="840" w:type="pct"/>
                      </w:tcPr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A5CF7" w:rsidRPr="004C16FD">
                    <w:trPr>
                      <w:jc w:val="right"/>
                    </w:trPr>
                    <w:tc>
                      <w:tcPr>
                        <w:tcW w:w="4160" w:type="pct"/>
                        <w:gridSpan w:val="2"/>
                      </w:tcPr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הבחירות לכנסת [נוסח משולב], התשכ"ט-1969-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25, אחרי סעיף קטן (ב) יבוא: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רואים התפלגות של סיעה לענין סעיף 6א לחוק-יסוד: הכנסת, אם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אחד מהתנאים הבאים: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ההתפלגות היא של קבוצה של לפחות שלושה חברי הכנסת, שהם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שליש ממספר חברי הסיעה: אך בסיעה שמספר חבריה ששה או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פחות, תהא זו התפלגות אם הקבוצה מונה שני חברי כנסת או יותר.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ההתפלגות היא של סיעה שהיא צירוף של סיעות או חטיבות של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הקודמת או צירוף של מפלגות או ארגונים מחוץ לכנסת, או של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או חטיבה כאמור עם מפלגה או ארגון כאמור, וההתפלגות היא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ההשתייכות לאותם סיעות, חטיבות, מפלגות או ארגונים, והיא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הגישה ליושב-ראש ועדת הבחירות המרכזית בעת הגשת רשימת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שלה, נוסח של הסכם בדבר צירוף של סיעות, חטיבות,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מפלגות או ארגונים כאמור, בציון ההשתייכות של המועמדים.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נמסרה לועדת הכנסת הודעה בכתב מטעם סיעה או חלק ממנה על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התפלגות כאמור בסעיף קטן (ב1), או על מיזוג של סיעות במסגרת סיעתית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חדשה, תאשר ועדת הכנסת את השינוי.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(ב3) לענין התפלגות לפי סעיף קטן (ב1) -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סיעה שהתפלגה או התמזגה, רואים את מספר חברי הסיעות</w:t>
                        </w:r>
                      </w:p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 על-פי ההרכב הסיעתי החדש, לאחר שאושר על-ידי ועדת</w:t>
                        </w:r>
                      </w:p>
                      <w:p w:rsidR="007A5CF7" w:rsidRPr="004C16FD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הכנסת:</w:t>
                        </w:r>
                      </w:p>
                    </w:tc>
                    <w:tc>
                      <w:tcPr>
                        <w:tcW w:w="840" w:type="pct"/>
                      </w:tcPr>
                      <w:p w:rsidR="007A5CF7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A5CF7" w:rsidRPr="004C16FD" w:rsidRDefault="007A5C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</w:t>
                        </w:r>
                      </w:p>
                    </w:tc>
                  </w:tr>
                </w:tbl>
                <w:p w:rsidR="007A5CF7" w:rsidRDefault="007A5C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63" o:spid="_x0000_s1028" type="#_x0000_t202" style="position:absolute;left:0;text-align:left;margin-left:185.35pt;margin-top:54.9pt;width:201.55pt;height:28.7pt;z-index:1;mso-position-horizontal-relative:page;mso-position-vertical-relative:page" stroked="f">
            <v:textbox style="mso-next-textbox:#_x0000_s39763" inset="0,0,0,0">
              <w:txbxContent>
                <w:p w:rsidR="007A5CF7" w:rsidRPr="004C16FD" w:rsidRDefault="007A5CF7">
                  <w:pPr>
                    <w:pStyle w:val="OCRStyle1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(תיקח מס' 12)</w:t>
                  </w:r>
                </w:p>
              </w:txbxContent>
            </v:textbox>
            <w10:wrap anchorx="page" anchory="page"/>
          </v:shape>
        </w:pict>
      </w:r>
    </w:p>
    <w:p w:rsidR="00ED2130" w:rsidRDefault="00ED2130">
      <w:pPr>
        <w:rPr>
          <w:rtl/>
        </w:rPr>
      </w:pPr>
      <w:r>
        <w:rPr>
          <w:rtl/>
        </w:rPr>
        <w:br w:type="page"/>
      </w:r>
    </w:p>
    <w:p w:rsidR="00ED2130" w:rsidRDefault="00000000">
      <w:pPr>
        <w:rPr>
          <w:rtl/>
        </w:rPr>
      </w:pPr>
      <w:r>
        <w:pict>
          <v:shape id="_x0000_s3976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764" inset="0,0,0,0">
              <w:txbxContent>
                <w:p w:rsidR="007A5CF7" w:rsidRDefault="007A5CF7">
                  <w:r>
                    <w:rPr>
                      <w:rtl/>
                    </w:rPr>
                    <w:t>91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65" o:spid="_x0000_s1030" type="#_x0000_t202" style="position:absolute;left:0;text-align:left;margin-left:374.2pt;margin-top:673.9pt;width:177.4pt;height:67.9pt;z-index:6;mso-position-horizontal-relative:page;mso-position-vertical-relative:page" stroked="f">
            <v:textbox style="mso-next-textbox:#_x0000_s39765" inset="0,0,0,0">
              <w:txbxContent>
                <w:p w:rsidR="007A5CF7" w:rsidRPr="00ED2130" w:rsidRDefault="007A5CF7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1 ס"ח התשכ"ח, עמ' 226: התשמ"ב, עמ'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66" o:spid="_x0000_s1031" type="#_x0000_t202" style="position:absolute;left:0;text-align:left;margin-left:102.35pt;margin-top:62.65pt;width:455.4pt;height:606.1pt;z-index:5;mso-position-horizontal-relative:page;mso-position-vertical-relative:page" stroked="f">
            <v:textbox style="mso-next-textbox:#_x0000_s397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5664"/>
                    <w:gridCol w:w="1399"/>
                  </w:tblGrid>
                  <w:tr w:rsidR="007A5CF7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5" w:type="pct"/>
                        <w:gridSpan w:val="2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סיעה שחבר הכנסת פרש ממנה, שלא במסגרת התפלגות כאמור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(ב1), רואים את מספר חבריה כאילו לא פרש ממנה.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(ב4) (1) פרש חבר הכנסת מסיעתו שלא במסגרת התפלגות כאמור בסעיף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(ב1), תקבע ועדת הכנסת בישיבה שבסמוך לאחר הפרישה ולאחר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לחבר הכנסת הזדמנות להשמיע טענותיו, את דבר פרישתו, וכן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השינוי במספר חברי אותה סיעה.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תקבע ועדת הכנסת כי חבר הכנסת פרש מסיעתו אלא לאחר -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שבדקה את העובדות הנוגעות לפרישתו ומצאה כי נתקיימו המבחנים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בסעיף 6א לחוק-יסוד: הכנסת.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החלטת ועדת הכנסת על-פי סעיף זה, רשאי חבר הכנסת לערער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המחוזי בירושלים, שידון בערעור בשלושה.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(ב5) על החלטת ועדת הכנסת לפי סעיף זה תימסר הודעה לכנסת.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(ב6) חבר הכנסת שועדת הכנסת הודיעה על פרישתו, לא יצורף לסיעה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 בתקופת כהונתה של אותה הכנסת.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(בר) בסיעה שבה חלוקים חבריה בשאלה מי מייצג את הסיעה, רואים את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 המהווים רוב של חברי הסיעה כמייצגים את הסיעה; ואולם אם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נחלקו חברי הסיעה לחלקים שווים, רואים אותו חלק של הסיעה שעמו נמנה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שעמד בראש רשימת המועמדים לכנסת, כמייצג את הסיעה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בכנסת, ואם חדל לכהן כחבר הכנסת - הבא אחריו באותה רשימת המועמדים."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57 יבוא:</w:t>
                        </w:r>
                      </w:p>
                    </w:tc>
                  </w:tr>
                  <w:tr w:rsidR="007A5CF7" w:rsidRPr="00ED2130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לא ייעשה הסכם ולא תינתן התחייבות הבאים להבטיח מקום ברשימת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לכנסת לחבר כנסת מסויים או לקבוצת אנשים, אלא לאחר היום ה-90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הבחירות לכנסת."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הסכמים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רשימות</w:t>
                        </w:r>
                      </w:p>
                      <w:p w:rsidR="007A5CF7" w:rsidRPr="00ED2130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</w:t>
                        </w:r>
                      </w:p>
                    </w:tc>
                  </w:tr>
                  <w:tr w:rsidR="007A5CF7" w:rsidRPr="00ED2130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חוק-יסוד:</w:t>
                        </w:r>
                      </w:p>
                      <w:p w:rsidR="007A5CF7" w:rsidRPr="00ED2130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265" w:type="pct"/>
                        <w:gridSpan w:val="2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בחוק'יסוד: הממשלה3 -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5(ב) יבוא: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פרש חבר הכנסת מסיעתו ולא התפטר מכהונתו סמוך לפרישתו, לא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לשר בתקופת כהונתה של אותה כנסת.";</w:t>
                        </w:r>
                      </w:p>
                      <w:p w:rsidR="007A5CF7" w:rsidRPr="00ED2130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13 יבוא:</w:t>
                        </w:r>
                      </w:p>
                    </w:tc>
                  </w:tr>
                  <w:tr w:rsidR="007A5CF7" w:rsidRPr="00ED2130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0" w:type="pct"/>
                      </w:tcPr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א. (א) לא ייעשה הסכם ולא תינתן התחייבות בענין תפקידו של אדם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 או כסגן שר, אלא בידי נציגים מוסמכים של סיעות הכנסת שהן צד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להסכם.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שעל-פי חוק נתונה הסמכות להעביר אדם מתפקידו, בכנסת,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בממשלה, בשירות המדינה, בתאגיד שהוקם בחוק, בחברה ממשלתית או בכל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ציבורי אחר - לא ייעשה הסכם ולא תינתן התחייבות בענין אי-העברתו של</w:t>
                        </w:r>
                      </w:p>
                      <w:p w:rsidR="007A5CF7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מתפקידו.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7A5CF7" w:rsidRPr="00ED2130" w:rsidRDefault="007A5C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להסכם</w:t>
                        </w:r>
                      </w:p>
                    </w:tc>
                  </w:tr>
                </w:tbl>
                <w:p w:rsidR="007A5CF7" w:rsidRDefault="007A5C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36789" w:rsidRDefault="00B36789">
      <w:pPr>
        <w:rPr>
          <w:rtl/>
        </w:rPr>
      </w:pPr>
      <w:r>
        <w:rPr>
          <w:rtl/>
        </w:rPr>
        <w:br w:type="page"/>
      </w:r>
    </w:p>
    <w:p w:rsidR="00B36789" w:rsidRDefault="00000000">
      <w:pPr>
        <w:rPr>
          <w:rtl/>
        </w:rPr>
      </w:pPr>
      <w:r>
        <w:pict>
          <v:shape id="_x0000_s3976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767" inset="0,0,0,0">
              <w:txbxContent>
                <w:p w:rsidR="007A5CF7" w:rsidRDefault="007A5CF7">
                  <w:r>
                    <w:rPr>
                      <w:rtl/>
                    </w:rPr>
                    <w:t>92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68" o:spid="_x0000_s1033" type="#_x0000_t202" style="position:absolute;left:0;text-align:left;margin-left:84.4pt;margin-top:669.7pt;width:396pt;height:74.85pt;z-index:9;mso-position-horizontal-relative:page;mso-position-vertical-relative:page" stroked="f">
            <v:textbox style="mso-next-textbox:#_x0000_s39768" inset="0,0,0,0">
              <w:txbxContent>
                <w:p w:rsidR="007A5CF7" w:rsidRPr="00B36789" w:rsidRDefault="007A5CF7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4 ס"ח התשל"ג, עמ' 52; התש"ן,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69" o:spid="_x0000_s1034" type="#_x0000_t202" style="position:absolute;left:0;text-align:left;margin-left:83.6pt;margin-top:63.65pt;width:466.5pt;height:595.8pt;z-index:8;mso-position-horizontal-relative:page;mso-position-vertical-relative:page" stroked="f">
            <v:textbox style="mso-next-textbox:#_x0000_s397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7"/>
                    <w:gridCol w:w="1459"/>
                    <w:gridCol w:w="1255"/>
                  </w:tblGrid>
                  <w:tr w:rsidR="007A5CF7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תינתן ערבות במישרין או בעקיפין, בכסף, בשווה כסף, בשירות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בכל טובת הנאה אחרת, להבטחת ביצועם של הסכם או של התחייבות כאמור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ולא יהיה תוקף לערבות כאמור.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A5CF7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ב. (א) סיעה שעשתה הסכם בכתב או שנעשה מטעמה הסכם בכתב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לכינונה של ממשלה או בקשר להבעת אי-אמון בה, תמסור את הנוסח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 של ההסכם למזכיר הכנסת תוך שלושה ימים מיום החתימה ולא יאוחר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מצהרי היום שלפני התייצבות הממשלה בפני הכנסת או הצבעת האי-אמון;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במניין הימים לא יבואו בחשבון ימי מנוחה או שבתון על-פי חיקוק.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המועד האמור בסעיף קטן (א) לא ייחתם הסכם בעניינים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בו אלא אם כן נדחה המועד להתייצבות הממשלה או להצבעת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האי-אמון, לבקשת מי שהוטל עליו התפקיד להרכיב ממשלה או לבקשת מי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את הצבעת האי-אמון, לפי הענין, והמועד החדש שנקבע מאפשר למלא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הוראת סעיף קטן (א).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מזכיר הכנסת יביא לידיעת חברי הכנסת כל הסכם שנמסר לו לפי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סמוך למסירתו ולפני התייצבות הממשלה בפני הכנסת או הצבעת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האי-אמון.";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34 יסומן (א) ובסופו יבוא: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שפרש מסיעתו לא יתמנה לסגן שר בתקופת כהונתה של אותה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כנסת."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הסכמים</w:t>
                        </w:r>
                      </w:p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A5CF7" w:rsidRPr="00B36789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מימון מפלגות, התשל"ג-41973, במקום סעיפים 13 ו-13א יבוא:</w:t>
                        </w:r>
                      </w:p>
                    </w:tc>
                    <w:tc>
                      <w:tcPr>
                        <w:tcW w:w="740" w:type="pct"/>
                        <w:vMerge w:val="restar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מטלגות</w:t>
                        </w:r>
                      </w:p>
                    </w:tc>
                  </w:tr>
                  <w:tr w:rsidR="007A5CF7">
                    <w:trPr>
                      <w:jc w:val="right"/>
                    </w:trPr>
                    <w:tc>
                      <w:tcPr>
                        <w:tcW w:w="340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התפלגה סיעה בכנסת או התמזגו סיעות בכנסת על-פי האמור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25(ב1) ו-(ב2) לחוק הבחירות לכנסת [נוסח משולב], התשכ"ט-,1969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מימון ההוצאות השוטפות של החלקים שהתפלגו בהתאם למספר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החדש, החל בחודש שלאחר שועדת הכנסת אישרה את השינוי.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מקרה אחר לא יהיו חברי הכנסת שפרשו מסיעה זכאים למימון</w:t>
                        </w:r>
                      </w:p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שוטפות, ומימון ההוצאות של הסיעה שממנה פרשו לא ישתנה."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"שינויים בהרכב</w:t>
                        </w:r>
                      </w:p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הסיעות</w:t>
                        </w:r>
                      </w:p>
                    </w:tc>
                    <w:tc>
                      <w:tcPr>
                        <w:tcW w:w="740" w:type="pct"/>
                        <w:vMerge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A5CF7" w:rsidRPr="00B36789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הוראות חוק זה כאות להוסיף על הוראות כל דין ולא לגרוע מהן.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חוק זה כדי לפגוע בהוראת כל דין שעל-פיה מעשה הוא אסור, או</w:t>
                        </w:r>
                      </w:p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שהסכם או התחייבות נוגדים את החוק או אינם ניתנים לאכיפה.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7A5CF7" w:rsidRPr="00B36789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אף האמור בסעיף 25 לחוק הבחירות לכנסת [נוסח משולב], התשכ"ט-1969 -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הוראת הסיפה של פסקה (ב1) (2) של הסעיף האמור, המתחילה במלים "והיא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הגישה ליושב-ראש", לא תחול על התפלגות של סיעה בכנסת השתים-עשרה,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שאותה סיעה מסרה ליושב-ראש הכנסת, תוך שלושה חדשים מתחילתו של</w:t>
                        </w:r>
                      </w:p>
                      <w:p w:rsidR="007A5CF7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הודעה על השתייכותם המפלגתית של חבריה כאמור בסעיף 12 (ב) לחוק</w:t>
                        </w:r>
                      </w:p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מפלגות, התשל"ג-1973.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A5CF7" w:rsidRPr="00B36789" w:rsidRDefault="007A5C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7A5CF7" w:rsidRDefault="007A5C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A5CF7" w:rsidRDefault="007A5CF7">
      <w:pPr>
        <w:rPr>
          <w:rtl/>
        </w:rPr>
      </w:pPr>
      <w:r>
        <w:rPr>
          <w:rtl/>
        </w:rPr>
        <w:br w:type="page"/>
      </w:r>
    </w:p>
    <w:p w:rsidR="007A5CF7" w:rsidRDefault="00000000">
      <w:pPr>
        <w:rPr>
          <w:rtl/>
        </w:rPr>
      </w:pPr>
      <w:r>
        <w:pict>
          <v:shape id="_x0000_s39770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9770" inset="0,0,0,0">
              <w:txbxContent>
                <w:p w:rsidR="007A5CF7" w:rsidRDefault="007A5CF7">
                  <w:r>
                    <w:rPr>
                      <w:rtl/>
                    </w:rPr>
                    <w:t>93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71" o:spid="_x0000_s1036" type="#_x0000_t202" style="position:absolute;left:0;text-align:left;margin-left:227pt;margin-top:306.35pt;width:82.55pt;height:37.05pt;z-index:14;mso-position-horizontal-relative:page;mso-position-vertical-relative:page" stroked="f">
            <v:textbox style="mso-next-textbox:#_x0000_s39771" inset="0,0,0,0">
              <w:txbxContent>
                <w:p w:rsidR="007A5CF7" w:rsidRDefault="007A5CF7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A5CF7" w:rsidRDefault="007A5CF7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72" o:spid="_x0000_s1037" type="#_x0000_t202" style="position:absolute;left:0;text-align:left;margin-left:334.55pt;margin-top:279.6pt;width:78.4pt;height:34.45pt;z-index:13;mso-position-horizontal-relative:page;mso-position-vertical-relative:page" stroked="f">
            <v:textbox style="mso-next-textbox:#_x0000_s39772" inset="0,0,0,0">
              <w:txbxContent>
                <w:p w:rsidR="007A5CF7" w:rsidRDefault="007A5CF7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A5CF7" w:rsidRDefault="007A5CF7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73" o:spid="_x0000_s1038" type="#_x0000_t202" style="position:absolute;left:0;text-align:left;margin-left:447.4pt;margin-top:305.55pt;width:75.65pt;height:36.05pt;z-index:12;mso-position-horizontal-relative:page;mso-position-vertical-relative:page" stroked="f">
            <v:textbox style="mso-next-textbox:#_x0000_s39773" inset="0,0,0,0">
              <w:txbxContent>
                <w:p w:rsidR="007A5CF7" w:rsidRDefault="007A5CF7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A5CF7" w:rsidRDefault="007A5CF7">
                  <w:pPr>
                    <w:pStyle w:val="OCRStyle4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74" o:spid="_x0000_s1039" type="#_x0000_t202" style="position:absolute;left:0;text-align:left;margin-left:176.9pt;margin-top:61.8pt;width:383.15pt;height:204.95pt;z-index:11;mso-position-horizontal-relative:page;mso-position-vertical-relative:page" stroked="f">
            <v:textbox style="mso-next-textbox:#_x0000_s39774" inset="0,0,0,0">
              <w:txbxContent>
                <w:p w:rsidR="007A5CF7" w:rsidRDefault="007A5CF7">
                  <w:pPr>
                    <w:pStyle w:val="OCRStyle4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(2) חבר הכנסת שפרש מסיעתו בכנסת השתים-עשרה רשאי להצטרף לקבוצת</w:t>
                  </w:r>
                </w:p>
                <w:p w:rsidR="007A5CF7" w:rsidRDefault="007A5CF7">
                  <w:pPr>
                    <w:pStyle w:val="OCRStyle4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חברי כנסת שהתפלגה מהסיעה שממנה פרש, וכן רשאים חברי כנסת שפרשו בנפרד</w:t>
                  </w:r>
                </w:p>
                <w:p w:rsidR="007A5CF7" w:rsidRDefault="007A5CF7">
                  <w:pPr>
                    <w:pStyle w:val="OCRStyle4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מאותה סיעה, להתאחד כקבוצה שהתפלגה מסיעתם, אם בעשותם כן מתקיימים</w:t>
                  </w:r>
                </w:p>
                <w:p w:rsidR="007A5CF7" w:rsidRDefault="007A5CF7">
                  <w:pPr>
                    <w:pStyle w:val="OCRStyle4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התנאים האמורים בפסקה (ב1) של הסעיף האמור; ורואים את מי שפרשו כאמור,</w:t>
                  </w:r>
                </w:p>
                <w:p w:rsidR="007A5CF7" w:rsidRDefault="007A5CF7">
                  <w:pPr>
                    <w:pStyle w:val="OCRStyle4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מהמועד שהצטרפו או התאחדו, כאילו התפלגו מסיעתם.</w:t>
                  </w:r>
                </w:p>
                <w:p w:rsidR="007A5CF7" w:rsidRDefault="007A5CF7">
                  <w:pPr>
                    <w:pStyle w:val="OCRStyle4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(3) חבר הכנסת שפרש לפני תחילתו של חוק זה מהסיעה אשר שמו נכלל ברשימת</w:t>
                  </w:r>
                </w:p>
                <w:p w:rsidR="007A5CF7" w:rsidRDefault="007A5CF7">
                  <w:pPr>
                    <w:pStyle w:val="OCRStyle4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המועמדים שלה, והוא חזר אליה בהסכמתה לפני תחילתו של חוק זה או לא יאוחר</w:t>
                  </w:r>
                </w:p>
                <w:p w:rsidR="007A5CF7" w:rsidRDefault="007A5CF7">
                  <w:pPr>
                    <w:pStyle w:val="OCRStyle4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מששה חודשים מתחילתו - בטל כל הסכם שנעשה עמו בקשר עם פרישתו, ורואים</w:t>
                  </w:r>
                </w:p>
                <w:p w:rsidR="007A5CF7" w:rsidRDefault="007A5CF7">
                  <w:pPr>
                    <w:pStyle w:val="OCRStyle4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אותו, לענין חוק זה, כאילו לא פרש מסיעתו.</w:t>
                  </w:r>
                </w:p>
                <w:p w:rsidR="007A5CF7" w:rsidRDefault="007A5CF7">
                  <w:pPr>
                    <w:pStyle w:val="OCRStyle4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בסעיף 13 לחוק מימון מפלגות, התשל"ג-1973, כנוסחו בחוק זה, חזר</w:t>
                  </w:r>
                </w:p>
                <w:p w:rsidR="007A5CF7" w:rsidRDefault="007A5CF7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חבר הכנסת לסיעתו כאמור בסעיף קטן (א)(3) של סעיף זה, יחושב מימון ההוצאות השוטפות של</w:t>
                  </w:r>
                </w:p>
                <w:p w:rsidR="007A5CF7" w:rsidRDefault="007A5CF7">
                  <w:pPr>
                    <w:pStyle w:val="OCRStyle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הסיעה שממנה פרש כאמור, כאילו לא פרש ממנה, ומימון ההוצאות השוטפות של הסיעה שעם</w:t>
                  </w:r>
                </w:p>
                <w:p w:rsidR="007A5CF7" w:rsidRDefault="007A5CF7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חבריה הוא נמנה לפני שחזר לסיעתו - ישתנה בהתאם.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16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494312-D7DC-420C-AE88-740A9E42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16F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D213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3678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A5C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2008-04-07T12:41:00Z</dcterms:created>
  <dcterms:modified xsi:type="dcterms:W3CDTF">2008-04-07T12:41:00Z</dcterms:modified>
</cp:coreProperties>
</file>