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741A" w:rsidRDefault="0045741A">
      <w:pPr>
        <w:rPr>
          <w:rtl/>
        </w:rPr>
      </w:pPr>
    </w:p>
    <w:p w:rsidR="004574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33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330" inset="0,0,0,0">
              <w:txbxContent>
                <w:p w:rsidR="0045741A" w:rsidRDefault="0045741A">
                  <w:r>
                    <w:rPr>
                      <w:rtl/>
                    </w:rPr>
                    <w:t>22                                          ספר החוקים 1374                   י"א בטבת התשנ"ב 18.12.1991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31" o:spid="_x0000_s1026" type="#_x0000_t202" style="position:absolute;left:0;text-align:left;margin-left:79.75pt;margin-top:723.9pt;width:214.45pt;height:17.25pt;z-index:8;mso-position-horizontal-relative:page;mso-position-vertical-relative:page" stroked="f">
            <v:textbox style="mso-next-textbox:#_x0000_s40331" inset="0,0,0,0">
              <w:txbxContent>
                <w:p w:rsidR="0045741A" w:rsidRDefault="004574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32" o:spid="_x0000_s1027" type="#_x0000_t202" style="position:absolute;left:0;text-align:left;margin-left:84.1pt;margin-top:663.7pt;width:385.7pt;height:58.6pt;z-index:7;mso-position-horizontal-relative:page;mso-position-vertical-relative:page" stroked="f">
            <v:textbox style="mso-next-textbox:#_x0000_s40332" inset="0,0,0,0">
              <w:txbxContent>
                <w:p w:rsidR="0045741A" w:rsidRDefault="0045741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התשנ"ב (9 בדצמבר 1991 ): הצעת החוק ודברי הסבר פורסמו בהצעות חוק 2075, מיום י"ג</w:t>
                  </w:r>
                </w:p>
                <w:p w:rsidR="0045741A" w:rsidRDefault="0045741A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באב התשנ"א (24 ביולי 1991), עמ' 364.</w:t>
                  </w:r>
                </w:p>
                <w:p w:rsidR="0045741A" w:rsidRDefault="0045741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 ס"ח התשמ''ד, עמ' 142; התשמ"ח, עמ' 52.</w:t>
                  </w:r>
                </w:p>
                <w:p w:rsidR="0045741A" w:rsidRPr="0045741A" w:rsidRDefault="0045741A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2 דיני מדינת ישראל, נוסח חדש 20, עמ' 443 :ס"ח התשמ"ד, עמ' .132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33" o:spid="_x0000_s1028" type="#_x0000_t202" style="position:absolute;left:0;text-align:left;margin-left:182.3pt;margin-top:621.55pt;width:86.9pt;height:32.65pt;z-index:6;mso-position-horizontal-relative:page;mso-position-vertical-relative:page" stroked="f">
            <v:textbox style="mso-next-textbox:#_x0000_s40333" inset="0,0,0,0">
              <w:txbxContent>
                <w:p w:rsidR="0045741A" w:rsidRDefault="0045741A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5741A" w:rsidRDefault="0045741A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34" o:spid="_x0000_s1029" type="#_x0000_t202" style="position:absolute;left:0;text-align:left;margin-left:368.25pt;margin-top:623.35pt;width:92.05pt;height:34.45pt;z-index:5;mso-position-horizontal-relative:page;mso-position-vertical-relative:page" stroked="f">
            <v:textbox style="mso-next-textbox:#_x0000_s40334" inset="0,0,0,0">
              <w:txbxContent>
                <w:p w:rsidR="0045741A" w:rsidRDefault="0045741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5741A" w:rsidRDefault="0045741A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35" o:spid="_x0000_s1030" type="#_x0000_t202" style="position:absolute;left:0;text-align:left;margin-left:81.55pt;margin-top:596.6pt;width:96.45pt;height:25.75pt;z-index:4;mso-position-horizontal-relative:page;mso-position-vertical-relative:page" stroked="f">
            <v:textbox style="mso-next-textbox:#_x0000_s40335" inset="0,0,0,0">
              <w:txbxContent>
                <w:p w:rsidR="0045741A" w:rsidRDefault="0045741A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5741A" w:rsidRDefault="0045741A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36" o:spid="_x0000_s1031" type="#_x0000_t202" style="position:absolute;left:0;text-align:left;margin-left:280.35pt;margin-top:596.6pt;width:85.35pt;height:26.75pt;z-index:3;mso-position-horizontal-relative:page;mso-position-vertical-relative:page" stroked="f">
            <v:textbox style="mso-next-textbox:#_x0000_s40336" inset="0,0,0,0">
              <w:txbxContent>
                <w:p w:rsidR="0045741A" w:rsidRDefault="0045741A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5741A" w:rsidRDefault="0045741A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37" o:spid="_x0000_s1032" type="#_x0000_t202" style="position:absolute;left:0;text-align:left;margin-left:81.55pt;margin-top:92.9pt;width:466.5pt;height:503.7pt;z-index:2;mso-position-horizontal-relative:page;mso-position-vertical-relative:page" stroked="f">
            <v:textbox style="mso-next-textbox:#_x0000_s403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6"/>
                    <w:gridCol w:w="1086"/>
                    <w:gridCol w:w="1451"/>
                  </w:tblGrid>
                  <w:tr w:rsidR="0045741A" w:rsidRPr="0045741A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45741A" w:rsidRDefault="0045741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שמירת הנקיון, התשמ"ד-1984 1 ( להלן - החוק העיקרי), אחרי הגדרת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"השלכה" יבוא:</w:t>
                        </w:r>
                      </w:p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""כלי שיט" - כהגדרתו בפקודת הנמלים [נוסח חדש), התשל"א-21971".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5741A" w:rsidRPr="0045741A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4(ב) לחוק העיקרי יבוא: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הוכח כי פסולת הושלכה מכלי שיט, רואים לענין סעיף 2 את בעל כלי השיט,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קברניטו, מפעילו או האחראי לו, כאילו הוא השליך את הפסולת, זולת אם הוכיח שלא הוא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 וכי המעשה נעשה שלא בידיעתו והוא נקט את כל האמצעים הסבירים למנוע את</w:t>
                        </w:r>
                      </w:p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ההשלכה ולגלות את זהותו של משליך הפסולת."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5741A" w:rsidRPr="0045741A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5 לחוק העיקרי יבוא: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45741A">
                    <w:trPr>
                      <w:jc w:val="right"/>
                    </w:trPr>
                    <w:tc>
                      <w:tcPr>
                        <w:tcW w:w="3505" w:type="pct"/>
                      </w:tcPr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הכותב, מצייר, משרטט או חורט על מקרקעין של זולתו, שלא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או מדביק, תולה, מניח או קובע עליהם, שלא כדין, כל כתב, מודעה או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שלט, רואים אותו, לענין סעיף 2, כמלכלך את רשות הרבים.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הודבקו או נקבעו כתב, מודעה או שלט כאמור בסעיף קטן (א),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לענין סעיף 2, גם מי שתכנם של הכתב, המודעה או השלט מצביע עליו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 שהזמין את הכנתם או הדבקתם או הורה על כך, זולת אם הוכיח כי לא הוא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 וכי המעשה נעשה שלא בידיעתו והוא נקט את כל האמצעים הסבירים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את ביצוע המעשה.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ההתיישנות על עבירה שסעיף זה חל עליה תהיה שנה אחת.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"כתב" - לרבות ציור, שרטוט או חריטה."</w:t>
                        </w:r>
                      </w:p>
                    </w:tc>
                    <w:tc>
                      <w:tcPr>
                        <w:tcW w:w="640" w:type="pct"/>
                      </w:tcPr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"חזקות לעניו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לכלוך רשות</w:t>
                        </w:r>
                      </w:p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הרכים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5741A" w:rsidRPr="0045741A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7(א) לחוק העיקרי, במקום "שר הפנים" יבוא "השר לאיכות הסביבה".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45741A" w:rsidRPr="0045741A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8(א) לחוק העיקרי, במקום "מי ששר הפנים" יבוא "מי שהשר לאיכות הסביבה".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45741A" w:rsidRPr="0045741A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10 לחוק העיקרי -</w:t>
                        </w:r>
                      </w:p>
                      <w:p w:rsid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"משרד הפנים" יבוא "המשרד לאיכות הסביבה".</w:t>
                        </w:r>
                      </w:p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מקום, במקום "שר הפנים" יבוא "השר לאיכות הסביבה".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45741A" w:rsidRPr="0045741A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11(א) לחוק העיקרי, במקום "שר הפנים" יבוא "השר לאיכות הסביבה".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45741A" w:rsidRPr="0045741A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12 לחוק העיקרי, בכל מקום, במקום "שר הפנים" יבוא "השר לאיכות הסביבה".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45741A" w:rsidRPr="0045741A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16(א) לחוק העיקרי, במקום "שר הפנים" יבוא "השר לאיכות הסביבה".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741A" w:rsidRPr="0045741A" w:rsidRDefault="00457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45741A" w:rsidRDefault="004574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38" o:spid="_x0000_s1033" type="#_x0000_t202" style="position:absolute;left:0;text-align:left;margin-left:139.15pt;margin-top:75.85pt;width:287.5pt;height:16.85pt;z-index:1;mso-position-horizontal-relative:page;mso-position-vertical-relative:page" stroked="f">
            <v:textbox style="mso-next-textbox:#_x0000_s40338" inset="0,0,0,0">
              <w:txbxContent>
                <w:p w:rsidR="0045741A" w:rsidRPr="0045741A" w:rsidRDefault="0045741A">
                  <w:pPr>
                    <w:pStyle w:val="OCRStyle1"/>
                    <w:ind w:left="5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שמירת הנקיון (תיקון מס' 2), התשנ"ב-1991*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574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F0BE8B-5F74-44EB-AE49-C8D37BB8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741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2008-04-07T08:44:00Z</dcterms:created>
  <dcterms:modified xsi:type="dcterms:W3CDTF">2008-04-07T08:44:00Z</dcterms:modified>
</cp:coreProperties>
</file>