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62E1" w:rsidRDefault="005162E1">
      <w:pPr>
        <w:rPr>
          <w:rtl/>
        </w:rPr>
      </w:pPr>
    </w:p>
    <w:p w:rsidR="005162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45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454" inset="0,0,0,0">
              <w:txbxContent>
                <w:p w:rsidR="005162E1" w:rsidRDefault="005162E1">
                  <w:r>
                    <w:rPr>
                      <w:rtl/>
                    </w:rPr>
                    <w:t>116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55" o:spid="_x0000_s1026" type="#_x0000_t202" style="position:absolute;left:0;text-align:left;margin-left:78.65pt;margin-top:451.35pt;width:387.5pt;height:55.85pt;z-index:7;mso-position-horizontal-relative:page;mso-position-vertical-relative:page" stroked="f">
            <v:textbox style="mso-next-textbox:#_x0000_s40455" inset="0,0,0,0">
              <w:txbxContent>
                <w:p w:rsidR="005162E1" w:rsidRDefault="005162E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א' התשנ"ב (3 במרס 1992): ה1עת החוק ודברי הסבר פורסמו בהצעות חוק 2104, מיום</w:t>
                  </w:r>
                </w:p>
                <w:p w:rsidR="005162E1" w:rsidRDefault="005162E1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כ"ב בשבט התשנ"ב (27 בינואר 1992), בעמ' 173.</w:t>
                  </w:r>
                </w:p>
                <w:p w:rsidR="005162E1" w:rsidRDefault="005162E1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 ס"ח התשי''ד, עמ' 154. התשכ"ג, עפר 133: התשכ''ד, עמ' 166: התשל''ב, עמ' 119; התשל"ג, עמ' 260: התשל"ו, עמ-</w:t>
                  </w:r>
                </w:p>
                <w:p w:rsidR="005162E1" w:rsidRPr="005162E1" w:rsidRDefault="005162E1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254. התשמ"ו, עמ' 67 ועמ' 141: התשמ"ח, עמ' 42: התש"ן, עמ' 173, עמ' 178 ועמ' 188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56" o:spid="_x0000_s1027" type="#_x0000_t202" style="position:absolute;left:0;text-align:left;margin-left:76.05pt;margin-top:374.7pt;width:98.2pt;height:35.25pt;z-index:6;mso-position-horizontal-relative:page;mso-position-vertical-relative:page" stroked="f">
            <v:textbox style="mso-next-textbox:#_x0000_s40456" inset="0,0,0,0">
              <w:txbxContent>
                <w:p w:rsidR="005162E1" w:rsidRDefault="005162E1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162E1" w:rsidRDefault="005162E1">
                  <w:pPr>
                    <w:pStyle w:val="OCRStyle1"/>
                    <w:ind w:left="1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57" o:spid="_x0000_s1028" type="#_x0000_t202" style="position:absolute;left:0;text-align:left;margin-left:180.2pt;margin-top:408.15pt;width:86.9pt;height:29.3pt;z-index:5;mso-position-horizontal-relative:page;mso-position-vertical-relative:page" stroked="f">
            <v:textbox style="mso-next-textbox:#_x0000_s40457" inset="0,0,0,0">
              <w:txbxContent>
                <w:p w:rsidR="005162E1" w:rsidRDefault="005162E1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162E1" w:rsidRDefault="005162E1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58" o:spid="_x0000_s1029" type="#_x0000_t202" style="position:absolute;left:0;text-align:left;margin-left:275.85pt;margin-top:378.85pt;width:81.75pt;height:34.45pt;z-index:4;mso-position-horizontal-relative:page;mso-position-vertical-relative:page" stroked="f">
            <v:textbox style="mso-next-textbox:#_x0000_s40458" inset="0,0,0,0">
              <w:txbxContent>
                <w:p w:rsidR="005162E1" w:rsidRDefault="005162E1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162E1" w:rsidRDefault="005162E1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59" o:spid="_x0000_s1030" type="#_x0000_t202" style="position:absolute;left:0;text-align:left;margin-left:371.5pt;margin-top:406.4pt;width:96.25pt;height:29.3pt;z-index:3;mso-position-horizontal-relative:page;mso-position-vertical-relative:page" stroked="f">
            <v:textbox style="mso-next-textbox:#_x0000_s40459" inset="0,0,0,0">
              <w:txbxContent>
                <w:p w:rsidR="005162E1" w:rsidRDefault="005162E1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162E1" w:rsidRDefault="005162E1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60" o:spid="_x0000_s1031" type="#_x0000_t202" style="position:absolute;left:0;text-align:left;margin-left:71.7pt;margin-top:336.7pt;width:460.75pt;height:33.65pt;z-index:2;mso-position-horizontal-relative:page;mso-position-vertical-relative:page" stroked="f">
            <v:textbox style="mso-next-textbox:#_x0000_s4046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285"/>
                  </w:tblGrid>
                  <w:tr w:rsidR="005162E1" w:rsidRPr="005162E1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162E1" w:rsidRDefault="005162E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עבודת נשים, התשי"ד-1954 1, בסעיף 6(ז)(1), אחרי "להבטחת פנסיה" יבוא "או</w:t>
                        </w:r>
                      </w:p>
                      <w:p w:rsidR="005162E1" w:rsidRPr="005162E1" w:rsidRDefault="005162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השתלמות", ובמקום "להבטחת הזכות האמורה" יבוא "להבטחת הזכויות האמורות".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162E1" w:rsidRPr="005162E1" w:rsidRDefault="005162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5162E1" w:rsidRDefault="005162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461" o:spid="_x0000_s1032" type="#_x0000_t202" style="position:absolute;left:0;text-align:left;margin-left:130.3pt;margin-top:310.95pt;width:305.7pt;height:18.8pt;z-index:1;mso-position-horizontal-relative:page;mso-position-vertical-relative:page" stroked="f">
            <v:textbox style="mso-next-textbox:#_x0000_s40461" inset="0,0,0,0">
              <w:txbxContent>
                <w:p w:rsidR="005162E1" w:rsidRPr="005162E1" w:rsidRDefault="005162E1">
                  <w:pPr>
                    <w:pStyle w:val="OCRStyle1"/>
                    <w:ind w:left="7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עבודת נשים (תיקון מס' 12), התשנייב-1992*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162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2C63F5-D6E8-4C52-BE27-C6D6EC0B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62E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2008-04-07T12:59:00Z</dcterms:created>
  <dcterms:modified xsi:type="dcterms:W3CDTF">2008-04-07T12:59:00Z</dcterms:modified>
</cp:coreProperties>
</file>