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42A3" w:rsidRDefault="007342A3">
      <w:pPr>
        <w:rPr>
          <w:rtl/>
        </w:rPr>
      </w:pPr>
    </w:p>
    <w:p w:rsidR="007342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511" inset="0,0,0,0">
              <w:txbxContent>
                <w:p w:rsidR="005C3B5B" w:rsidRDefault="005C3B5B">
                  <w:r>
                    <w:rPr>
                      <w:rtl/>
                    </w:rPr>
                    <w:t>208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2" o:spid="_x0000_s1026" type="#_x0000_t202" style="position:absolute;left:0;text-align:left;margin-left:75.55pt;margin-top:663.2pt;width:392.45pt;height:74.05pt;z-index:3;mso-position-horizontal-relative:page;mso-position-vertical-relative:page" stroked="f">
            <v:textbox style="mso-next-textbox:#_x0000_s40512" inset="0,0,0,0">
              <w:txbxContent>
                <w:p w:rsidR="005C3B5B" w:rsidRDefault="005C3B5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התשנ"א (23 ביולי 1991): הצעת החוק ודברי הסבר פורסמו בהצעות חוק 2061, מיום י"ד</w:t>
                  </w:r>
                </w:p>
                <w:p w:rsidR="005C3B5B" w:rsidRDefault="005C3B5B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בתמוז התשנ"א (26 ביוני 1991), בעמ' 253.</w:t>
                  </w:r>
                </w:p>
                <w:p w:rsidR="005C3B5B" w:rsidRDefault="005C3B5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266! התשנ"א, עמ' 34, עמ' 104 ועמ' 176.</w:t>
                  </w:r>
                </w:p>
                <w:p w:rsidR="005C3B5B" w:rsidRPr="007342A3" w:rsidRDefault="005C3B5B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2 ס"ח התשכ"ח,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3" o:spid="_x0000_s1027" type="#_x0000_t202" style="position:absolute;left:0;text-align:left;margin-left:83.3pt;margin-top:377.5pt;width:466.5pt;height:284.15pt;z-index:2;mso-position-horizontal-relative:page;mso-position-vertical-relative:page" stroked="f">
            <v:textbox style="mso-next-textbox:#_x0000_s405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1"/>
                    <w:gridCol w:w="1104"/>
                    <w:gridCol w:w="1664"/>
                  </w:tblGrid>
                  <w:tr w:rsidR="005C3B5B" w:rsidRPr="007342A3">
                    <w:trPr>
                      <w:jc w:val="right"/>
                    </w:trPr>
                    <w:tc>
                      <w:tcPr>
                        <w:tcW w:w="4019" w:type="pct"/>
                        <w:gridSpan w:val="2"/>
                      </w:tcPr>
                      <w:p w:rsidR="005C3B5B" w:rsidRPr="007342A3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העונשין, התשל"ז-1977  1( להלן - החוק העיקרי), במקום סעיף 214 יבוא:</w:t>
                        </w:r>
                      </w:p>
                    </w:tc>
                    <w:tc>
                      <w:tcPr>
                        <w:tcW w:w="981" w:type="pct"/>
                      </w:tcPr>
                      <w:p w:rsidR="005C3B5B" w:rsidRPr="007342A3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214</w:t>
                        </w:r>
                      </w:p>
                    </w:tc>
                  </w:tr>
                  <w:tr w:rsidR="005C3B5B">
                    <w:trPr>
                      <w:jc w:val="right"/>
                    </w:trPr>
                    <w:tc>
                      <w:tcPr>
                        <w:tcW w:w="3368" w:type="pct"/>
                      </w:tcPr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214. (א) העושה אחת מאלה, דינו - מאסר שלוש שנים: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מפרסם פרסום תועבה או מכינו לצורכי פרסום;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מציג, מארגן או מפיק הצגת תועבה -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ציבורי: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שאינו ציבורי - אלא אם כן הוא מקום המשמש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או המשמש חבר בני אדם שהחברות בו היא למי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לו שמונה עשרה שנים ולתקופה רצופה.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המשתמש בדמותו או בגופו של אדם שטרם מלאו לו שמונה עשרה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בפרסום תועבה או בהצגת תועבה, דינו - מאסר חמש שנים.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ביית המשפט הדן בעבירה לפי סעיף זה שנעברה בידי בעל עסק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עסקיו, רשאי להפעיל גם את הסמכויות לפי סעיפים 16 ו-17 לחוק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עסקים, התשכ"ח-21968, ובלבד שלא ישתמש בית המשפט בסמכותו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 אלא אם כן השתכנע שיש ראיות לכאורה לביצוע העבירה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ושהפעלת סמכותו דרושה לטובת הציבור.</w:t>
                        </w:r>
                      </w:p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יוגש כתב אישום לפי סעיף זה אלא תוך שנתיים מיום ביצוע</w:t>
                        </w:r>
                      </w:p>
                      <w:p w:rsidR="005C3B5B" w:rsidRPr="007342A3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ובידי פרקליט מחוז או בהסכמתו בכתב."</w:t>
                        </w:r>
                      </w:p>
                    </w:tc>
                    <w:tc>
                      <w:tcPr>
                        <w:tcW w:w="651" w:type="pct"/>
                      </w:tcPr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והצגת</w:t>
                        </w:r>
                      </w:p>
                      <w:p w:rsidR="005C3B5B" w:rsidRPr="007342A3" w:rsidRDefault="005C3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תועבה</w:t>
                        </w:r>
                      </w:p>
                    </w:tc>
                    <w:tc>
                      <w:tcPr>
                        <w:tcW w:w="981" w:type="pct"/>
                      </w:tcPr>
                      <w:p w:rsidR="005C3B5B" w:rsidRDefault="005C3B5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C3B5B" w:rsidRDefault="005C3B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14" o:spid="_x0000_s1028" type="#_x0000_t202" style="position:absolute;left:0;text-align:left;margin-left:146.05pt;margin-top:354.35pt;width:265.1pt;height:22.35pt;z-index:1;mso-position-horizontal-relative:page;mso-position-vertical-relative:page" stroked="f">
            <v:textbox style="mso-next-textbox:#_x0000_s40514" inset="0,0,0,0">
              <w:txbxContent>
                <w:p w:rsidR="005C3B5B" w:rsidRPr="007342A3" w:rsidRDefault="005C3B5B">
                  <w:pPr>
                    <w:pStyle w:val="OCRStyle1"/>
                    <w:ind w:left="54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35), התשנ"א-1991 *</w:t>
                  </w:r>
                </w:p>
              </w:txbxContent>
            </v:textbox>
            <w10:wrap anchorx="page" anchory="page"/>
          </v:shape>
        </w:pict>
      </w:r>
    </w:p>
    <w:p w:rsidR="005C3B5B" w:rsidRDefault="005C3B5B">
      <w:pPr>
        <w:rPr>
          <w:rtl/>
        </w:rPr>
      </w:pPr>
      <w:r>
        <w:rPr>
          <w:rtl/>
        </w:rPr>
        <w:br w:type="page"/>
      </w:r>
    </w:p>
    <w:p w:rsidR="005C3B5B" w:rsidRDefault="00000000">
      <w:pPr>
        <w:rPr>
          <w:rtl/>
        </w:rPr>
      </w:pPr>
      <w:r>
        <w:pict>
          <v:shape id="_x0000_s4051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515" inset="0,0,0,0">
              <w:txbxContent>
                <w:p w:rsidR="005C3B5B" w:rsidRDefault="005C3B5B">
                  <w:r>
                    <w:rPr>
                      <w:rtl/>
                    </w:rPr>
                    <w:t>209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6" o:spid="_x0000_s1030" type="#_x0000_t202" style="position:absolute;left:0;text-align:left;margin-left:407.2pt;margin-top:247.4pt;width:150.7pt;height:33.65pt;z-index:10;mso-position-horizontal-relative:page;mso-position-vertical-relative:page" stroked="f">
            <v:textbox style="mso-next-textbox:#_x0000_s40516" inset="0,0,0,0">
              <w:txbxContent>
                <w:p w:rsidR="005C3B5B" w:rsidRDefault="005C3B5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עמ' 1240.</w:t>
                  </w:r>
                </w:p>
                <w:p w:rsidR="005C3B5B" w:rsidRPr="005C3B5B" w:rsidRDefault="005C3B5B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4 ס"ח התשט"ו, עמ' 96: התש"ן,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7" o:spid="_x0000_s1031" type="#_x0000_t202" style="position:absolute;left:0;text-align:left;margin-left:193.75pt;margin-top:183.85pt;width:80.8pt;height:30.9pt;z-index:9;mso-position-horizontal-relative:page;mso-position-vertical-relative:page" stroked="f">
            <v:textbox style="mso-next-textbox:#_x0000_s40517" inset="0,0,0,0">
              <w:txbxContent>
                <w:p w:rsidR="005C3B5B" w:rsidRDefault="005C3B5B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5C3B5B" w:rsidRDefault="005C3B5B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8" o:spid="_x0000_s1032" type="#_x0000_t202" style="position:absolute;left:0;text-align:left;margin-left:278.1pt;margin-top:207pt;width:82.55pt;height:36.25pt;z-index:8;mso-position-horizontal-relative:page;mso-position-vertical-relative:page" stroked="f">
            <v:textbox style="mso-next-textbox:#_x0000_s40518" inset="0,0,0,0">
              <w:txbxContent>
                <w:p w:rsidR="005C3B5B" w:rsidRDefault="005C3B5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C3B5B" w:rsidRDefault="005C3B5B">
                  <w:pPr>
                    <w:pStyle w:val="OCRStyle2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19" o:spid="_x0000_s1033" type="#_x0000_t202" style="position:absolute;left:0;text-align:left;margin-left:365pt;margin-top:182.85pt;width:90.3pt;height:30.3pt;z-index:7;mso-position-horizontal-relative:page;mso-position-vertical-relative:page" stroked="f">
            <v:textbox style="mso-next-textbox:#_x0000_s40519" inset="0,0,0,0">
              <w:txbxContent>
                <w:p w:rsidR="005C3B5B" w:rsidRDefault="005C3B5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C3B5B" w:rsidRDefault="005C3B5B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20" o:spid="_x0000_s1034" type="#_x0000_t202" style="position:absolute;left:0;text-align:left;margin-left:465.8pt;margin-top:210.4pt;width:80pt;height:31.1pt;z-index:6;mso-position-horizontal-relative:page;mso-position-vertical-relative:page" stroked="f">
            <v:textbox style="mso-next-textbox:#_x0000_s40520" inset="0,0,0,0">
              <w:txbxContent>
                <w:p w:rsidR="005C3B5B" w:rsidRDefault="005C3B5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C3B5B" w:rsidRDefault="005C3B5B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21" o:spid="_x0000_s1035" type="#_x0000_t202" style="position:absolute;left:0;text-align:left;margin-left:98.1pt;margin-top:75.35pt;width:458.95pt;height:107.5pt;z-index:5;mso-position-horizontal-relative:page;mso-position-vertical-relative:page" stroked="f">
            <v:textbox style="mso-next-textbox:#_x0000_s405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2"/>
                    <w:gridCol w:w="6793"/>
                  </w:tblGrid>
                  <w:tr w:rsidR="005C3B5B" w:rsidRPr="005C3B5B">
                    <w:trPr>
                      <w:jc w:val="right"/>
                    </w:trPr>
                    <w:tc>
                      <w:tcPr>
                        <w:tcW w:w="930" w:type="pct"/>
                      </w:tcPr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368ד</w:t>
                        </w:r>
                      </w:p>
                    </w:tc>
                    <w:tc>
                      <w:tcPr>
                        <w:tcW w:w="4070" w:type="pct"/>
                      </w:tcPr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368ד(ח) לחוק העיקרי, אחרי "348" יבוא "ו-351'י.</w:t>
                        </w:r>
                      </w:p>
                    </w:tc>
                  </w:tr>
                  <w:tr w:rsidR="005C3B5B" w:rsidRPr="005C3B5B">
                    <w:trPr>
                      <w:jc w:val="right"/>
                    </w:trPr>
                    <w:tc>
                      <w:tcPr>
                        <w:tcW w:w="930" w:type="pct"/>
                      </w:tcPr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פקודת</w:t>
                        </w:r>
                      </w:p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ההצגות הציבוריות</w:t>
                        </w:r>
                      </w:p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(ביקורת)</w:t>
                        </w:r>
                      </w:p>
                    </w:tc>
                    <w:tc>
                      <w:tcPr>
                        <w:tcW w:w="4070" w:type="pct"/>
                      </w:tcPr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פקודת ההצגות הציבוריות (ביקורת)3 - בטלה.</w:t>
                        </w:r>
                      </w:p>
                    </w:tc>
                  </w:tr>
                  <w:tr w:rsidR="005C3B5B" w:rsidRPr="005C3B5B">
                    <w:trPr>
                      <w:jc w:val="right"/>
                    </w:trPr>
                    <w:tc>
                      <w:tcPr>
                        <w:tcW w:w="930" w:type="pct"/>
                      </w:tcPr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</w:t>
                        </w:r>
                      </w:p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</w:t>
                        </w:r>
                      </w:p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(הגנת ילדים)</w:t>
                        </w:r>
                      </w:p>
                    </w:tc>
                    <w:tc>
                      <w:tcPr>
                        <w:tcW w:w="4070" w:type="pct"/>
                      </w:tcPr>
                      <w:p w:rsid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לתיקון דיני הראיות (הגנת ילדים), התשט"ו--41955, בסעיף 2א, במקום "349" יבוא</w:t>
                        </w:r>
                      </w:p>
                      <w:p w:rsidR="005C3B5B" w:rsidRPr="005C3B5B" w:rsidRDefault="005C3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"351".</w:t>
                        </w:r>
                      </w:p>
                    </w:tc>
                  </w:tr>
                </w:tbl>
                <w:p w:rsidR="005C3B5B" w:rsidRDefault="005C3B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42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E22BDE-0306-4311-9306-FB067812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42A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C3B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2008-04-07T12:51:00Z</dcterms:created>
  <dcterms:modified xsi:type="dcterms:W3CDTF">2008-04-07T12:51:00Z</dcterms:modified>
</cp:coreProperties>
</file>