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E508D" w:rsidRDefault="004E508D">
      <w:pPr>
        <w:rPr>
          <w:rtl/>
        </w:rPr>
      </w:pPr>
    </w:p>
    <w:p w:rsidR="004E508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67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673" inset="0,0,0,0">
              <w:txbxContent>
                <w:p w:rsidR="006F38BA" w:rsidRDefault="006F38BA">
                  <w:r>
                    <w:rPr>
                      <w:rtl/>
                    </w:rPr>
                    <w:t>50                                          ספר החוקים 1379                   י"ז בשבט התשנ"ב 22.01.1992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74" o:spid="_x0000_s1026" type="#_x0000_t202" style="position:absolute;left:0;text-align:left;margin-left:79.75pt;margin-top:663pt;width:398.55pt;height:92.05pt;z-index:3;mso-position-horizontal-relative:page;mso-position-vertical-relative:page" stroked="f">
            <v:textbox style="mso-next-textbox:#_x0000_s40674" inset="0,0,0,0">
              <w:txbxContent>
                <w:p w:rsidR="006F38BA" w:rsidRDefault="006F38BA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בשבט התשנ"ב (13 בינואר 1992); הצעת החוק ודברי הסבר פורסמו בהצעות חוק 2064, מיום כ"א</w:t>
                  </w:r>
                </w:p>
                <w:p w:rsidR="006F38BA" w:rsidRDefault="006F38BA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בתמוז התשנ"א (3 ביולי 1991), בעמ' 262.</w:t>
                  </w:r>
                </w:p>
                <w:p w:rsidR="006F38BA" w:rsidRDefault="006F38BA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א', פרק י"ב, עמ' 98.</w:t>
                  </w:r>
                </w:p>
                <w:p w:rsidR="006F38BA" w:rsidRPr="004E508D" w:rsidRDefault="006F38BA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2 כתבי אמנה, כרך 11, ע' .781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75" o:spid="_x0000_s1027" type="#_x0000_t202" style="position:absolute;left:0;text-align:left;margin-left:84.9pt;margin-top:483.85pt;width:466.7pt;height:179.2pt;z-index:2;mso-position-horizontal-relative:page;mso-position-vertical-relative:page" stroked="f">
            <v:textbox style="mso-next-textbox:#_x0000_s4067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20"/>
                    <w:gridCol w:w="804"/>
                    <w:gridCol w:w="1358"/>
                  </w:tblGrid>
                  <w:tr w:rsidR="006F38BA" w:rsidRPr="004E508D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6F38BA" w:rsidRDefault="006F38BA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בכל מקום בפקודת הובלת סחורות בים1 (להלן - הפקודה), במקום "סחורה" יבוא</w:t>
                        </w:r>
                      </w:p>
                      <w:p w:rsidR="006F38BA" w:rsidRDefault="006F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"טובין", במקום "אניה" ו"ספינה" יבוא "כלי שיט", ובמקום "שולח" יבוא "שוגר", ושינויי</w:t>
                        </w:r>
                      </w:p>
                      <w:p w:rsidR="006F38BA" w:rsidRPr="004E508D" w:rsidRDefault="006F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הצורה הדקדוקיים המתחייבים ייעשו לפי אלה.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F38BA" w:rsidRPr="004E508D" w:rsidRDefault="006F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מונחים</w:t>
                        </w:r>
                      </w:p>
                    </w:tc>
                  </w:tr>
                  <w:tr w:rsidR="006F38BA" w:rsidRPr="004E508D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6F38BA" w:rsidRPr="004E508D" w:rsidRDefault="006F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סעיפים 1 ו-2 לפקודה יבוא: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F38BA" w:rsidRDefault="006F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6F38BA" w:rsidRPr="004E508D" w:rsidRDefault="006F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ו-2</w:t>
                        </w:r>
                      </w:p>
                    </w:tc>
                  </w:tr>
                  <w:tr w:rsidR="006F38BA">
                    <w:trPr>
                      <w:jc w:val="right"/>
                    </w:trPr>
                    <w:tc>
                      <w:tcPr>
                        <w:tcW w:w="3751" w:type="pct"/>
                      </w:tcPr>
                      <w:p w:rsidR="006F38BA" w:rsidRDefault="006F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בפקודה זו -</w:t>
                        </w:r>
                      </w:p>
                      <w:p w:rsidR="006F38BA" w:rsidRDefault="006F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"האמנה של 1924" - האמנה הבין לאומית לאיחוד תקנות מסויימות בענין</w:t>
                        </w:r>
                      </w:p>
                      <w:p w:rsidR="006F38BA" w:rsidRDefault="006F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שטרי מטען, שנעשתה בבריסל, ביום 25 באוגוסט 1924 2;</w:t>
                        </w:r>
                      </w:p>
                      <w:p w:rsidR="006F38BA" w:rsidRDefault="006F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''הפרוטוקול של 1968'' - הפרוטוקול שנעשה בבריסל ביום 23 בפברואר 1968</w:t>
                        </w:r>
                      </w:p>
                      <w:p w:rsidR="006F38BA" w:rsidRDefault="006F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האמנה של 1924;</w:t>
                        </w:r>
                      </w:p>
                      <w:p w:rsidR="006F38BA" w:rsidRPr="004E508D" w:rsidRDefault="006F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"התקנות" - תקנות האג בענין שטרי מטען שנוסחן מובא בתוספת.</w:t>
                        </w:r>
                      </w:p>
                    </w:tc>
                    <w:tc>
                      <w:tcPr>
                        <w:tcW w:w="424" w:type="pct"/>
                      </w:tcPr>
                      <w:p w:rsidR="006F38BA" w:rsidRPr="004E508D" w:rsidRDefault="006F3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"הגדרות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F38BA" w:rsidRDefault="006F38B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F38BA" w:rsidRDefault="006F38B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676" o:spid="_x0000_s1028" type="#_x0000_t202" style="position:absolute;left:0;text-align:left;margin-left:141.7pt;margin-top:456.3pt;width:289.3pt;height:24.95pt;z-index:1;mso-position-horizontal-relative:page;mso-position-vertical-relative:page" stroked="f">
            <v:textbox style="mso-next-textbox:#_x0000_s40676" inset="0,0,0,0">
              <w:txbxContent>
                <w:p w:rsidR="006F38BA" w:rsidRPr="004E508D" w:rsidRDefault="006F38BA">
                  <w:pPr>
                    <w:pStyle w:val="OCRStyle1"/>
                    <w:ind w:left="18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הובלת סחורות בים, התשנ"ב-1992*</w:t>
                  </w:r>
                </w:p>
              </w:txbxContent>
            </v:textbox>
            <w10:wrap anchorx="page" anchory="page"/>
          </v:shape>
        </w:pict>
      </w:r>
    </w:p>
    <w:p w:rsidR="00673D8E" w:rsidRDefault="00673D8E">
      <w:pPr>
        <w:rPr>
          <w:rtl/>
        </w:rPr>
      </w:pPr>
      <w:r>
        <w:rPr>
          <w:rtl/>
        </w:rPr>
        <w:br w:type="page"/>
      </w:r>
    </w:p>
    <w:p w:rsidR="00673D8E" w:rsidRDefault="00000000">
      <w:pPr>
        <w:rPr>
          <w:rtl/>
        </w:rPr>
      </w:pPr>
      <w:r>
        <w:pict>
          <v:shape id="_x0000_s4067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0677" inset="0,0,0,0">
              <w:txbxContent>
                <w:p w:rsidR="006F38BA" w:rsidRDefault="006F38BA">
                  <w:r>
                    <w:rPr>
                      <w:rtl/>
                    </w:rPr>
                    <w:t>51                                          ספר החוקים 1379                   י"ז בשבט התשנ"ב 22.01.1992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78" o:spid="_x0000_s1030" type="#_x0000_t202" style="position:absolute;left:0;text-align:left;margin-left:373.45pt;margin-top:718.4pt;width:198pt;height:26.75pt;z-index:6;mso-position-horizontal-relative:page;mso-position-vertical-relative:page" stroked="f">
            <v:textbox style="mso-next-textbox:#_x0000_s40678" inset="0,0,0,0">
              <w:txbxContent>
                <w:p w:rsidR="006F38BA" w:rsidRDefault="006F38B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0679" o:spid="_x0000_s1031" type="#_x0000_t202" style="position:absolute;left:0;text-align:left;margin-left:87.75pt;margin-top:68.35pt;width:476pt;height:644.9pt;z-index:5;mso-position-horizontal-relative:page;mso-position-vertical-relative:page" stroked="f">
            <v:textbox style="mso-next-textbox:#_x0000_s4067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96"/>
                    <w:gridCol w:w="5671"/>
                    <w:gridCol w:w="1288"/>
                  </w:tblGrid>
                  <w:tr w:rsidR="006F38BA" w:rsidRPr="00673D8E">
                    <w:trPr>
                      <w:jc w:val="right"/>
                    </w:trPr>
                    <w:tc>
                      <w:tcPr>
                        <w:tcW w:w="980" w:type="pct"/>
                      </w:tcPr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6" w:type="pct"/>
                      </w:tcPr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בכפוף להוראות אחרות בפקודה, יחולו התקנות על כל שטר מטען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הובלת טובין כים ככל כלי שיט -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מנמל בישראל לנמל אחר, בין בישראל ובין מחוצה לה;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מנמל במדינה שהיא צד לאמנה של 1924 או לפרוטוקול של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1968, או כאשר שטר המטען הוצא במדינה שהיא צד לאמנה של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1924 או לפרוטוקול של 1968;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כאשר הן חלות על חוזה ההובלה הכלול בשטר המטען או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שהשטר משמש הוכחה לקיומו, בין על פי תנאי שנקבע בחוזה ובין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דיני המדינה שחוקיה חלים על חוזה כאמור: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לנמל בישראל, כאשר דיני מדינת ישראל חלים על הובלה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בין על פי חוזה ההובלה, בין על פי הסכם אחר בין הצדדים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לפי קביעת בית המשפט.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לענין תחולת הוראות סעיף זה, אין נפקא מינה מהי לאומיותו של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השיט או לאומיותו של המוביל, השוגר, הנשגר או כל אדם אחר הנוגע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כדבר."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6F38BA" w:rsidRPr="00673D8E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התקנות</w:t>
                        </w:r>
                      </w:p>
                    </w:tc>
                  </w:tr>
                  <w:tr w:rsidR="006F38BA" w:rsidRPr="00673D8E">
                    <w:trPr>
                      <w:jc w:val="right"/>
                    </w:trPr>
                    <w:tc>
                      <w:tcPr>
                        <w:tcW w:w="980" w:type="pct"/>
                      </w:tcPr>
                      <w:p w:rsidR="006F38BA" w:rsidRPr="00673D8E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</w:t>
                        </w:r>
                      </w:p>
                    </w:tc>
                    <w:tc>
                      <w:tcPr>
                        <w:tcW w:w="4020" w:type="pct"/>
                        <w:gridSpan w:val="2"/>
                      </w:tcPr>
                      <w:p w:rsidR="006F38BA" w:rsidRPr="00673D8E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8 לפקודה יבוא:</w:t>
                        </w:r>
                      </w:p>
                    </w:tc>
                  </w:tr>
                  <w:tr w:rsidR="006F38BA" w:rsidRPr="00673D8E">
                    <w:trPr>
                      <w:jc w:val="right"/>
                    </w:trPr>
                    <w:tc>
                      <w:tcPr>
                        <w:tcW w:w="980" w:type="pct"/>
                      </w:tcPr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6" w:type="pct"/>
                      </w:tcPr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8. (א) בלי לגרוע מהוראות סעיף 1(ב) וסעיף </w:t>
                        </w:r>
                        <w:r>
                          <w:t>III</w:t>
                        </w:r>
                        <w:r>
                          <w:rPr>
                            <w:rtl/>
                          </w:rPr>
                          <w:t xml:space="preserve"> סימן 4 לתקנות ומהוראות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דין אחר, רואים את מי שהמטען שוגר אליו (להלן - הנשגר), ואת מי ששטר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המטען הוסב אליו כדין (להלן - הנסב), לפי הענין, כצד לשטר המטען, אשר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ככזה הוא זכאי לכל הזכויות הנובעות מן העסקה שבשלה נעשה השטר, והוא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כפוף להתחייבויות המתייחסות לאותה עסקה בבואו להפעיל את זכויותיו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האמורות.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סעיף זה כדי לפגוע -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בזכות העיכוב במעבר;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בזכות לתבוע את דמי ההובלה משוגר הטובין או מבעליהם:</w:t>
                        </w:r>
                      </w:p>
                      <w:p w:rsidR="006F38BA" w:rsidRPr="00673D8E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בכל חיוב שיחול על הנשגר או על הנסב בשל קבלת הטובין."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"מעמדם של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הנשגר ושל</w:t>
                        </w:r>
                      </w:p>
                      <w:p w:rsidR="006F38BA" w:rsidRPr="00673D8E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הנסב</w:t>
                        </w:r>
                      </w:p>
                    </w:tc>
                  </w:tr>
                  <w:tr w:rsidR="006F38BA" w:rsidRPr="00673D8E">
                    <w:trPr>
                      <w:jc w:val="right"/>
                    </w:trPr>
                    <w:tc>
                      <w:tcPr>
                        <w:tcW w:w="980" w:type="pct"/>
                      </w:tcPr>
                      <w:p w:rsidR="006F38BA" w:rsidRPr="00673D8E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</w:tc>
                    <w:tc>
                      <w:tcPr>
                        <w:tcW w:w="4020" w:type="pct"/>
                        <w:gridSpan w:val="2"/>
                      </w:tcPr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בתוספת -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מתחת לכותרת "התוספת" במקום "(סעיף 2)" יבוא "(סעיף 1)";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ווו -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בסימן 4, בסופו יבוא: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לא תתקבל ראיה שנועדה להוכיח כי המוביל לא קיבל את הטובין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אם שטר המטען הועבר לצד שלישי הפועל בתום לב".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בסימן 6, במקום הפסקה המתחילה במלים "לעולם יהיו" יבוא: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"בכפוף להוראות סימן 6א, יהיו המוביל וכלי השיט פטורים, בכל מקרה,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מאחריות כלשהי לגבי הטובין, אלא אם כן הוגשה תביעה לבית משפט תוך שנה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ממועד מסירת הטובין או מן המועד אשר בו אמורים היו להימסר; אולם,</w:t>
                        </w:r>
                      </w:p>
                      <w:p w:rsidR="006F38BA" w:rsidRDefault="006F38BA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ניתן להאריך את התקופה האמורה, אם הסכימו על כך הצדדים לאחר שנוצרה</w:t>
                        </w:r>
                      </w:p>
                      <w:p w:rsidR="006F38BA" w:rsidRPr="00673D8E" w:rsidRDefault="006F3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עילת התביעה."</w:t>
                        </w:r>
                      </w:p>
                    </w:tc>
                  </w:tr>
                </w:tbl>
                <w:p w:rsidR="006F38BA" w:rsidRDefault="006F38B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06286" w:rsidRDefault="00E06286">
      <w:pPr>
        <w:rPr>
          <w:rtl/>
        </w:rPr>
      </w:pPr>
      <w:r>
        <w:rPr>
          <w:rtl/>
        </w:rPr>
        <w:br w:type="page"/>
      </w:r>
    </w:p>
    <w:p w:rsidR="00E06286" w:rsidRDefault="00000000">
      <w:pPr>
        <w:rPr>
          <w:rtl/>
        </w:rPr>
      </w:pPr>
      <w:r>
        <w:pict>
          <v:shape id="_x0000_s40680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0680" inset="0,0,0,0">
              <w:txbxContent>
                <w:p w:rsidR="006F38BA" w:rsidRDefault="006F38BA">
                  <w:r>
                    <w:rPr>
                      <w:rtl/>
                    </w:rPr>
                    <w:t>52                                          ספר החוקים 1379                   י"ז בשבט התשנ"ב 22.01.1992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81" o:spid="_x0000_s1033" type="#_x0000_t202" style="position:absolute;left:0;text-align:left;margin-left:78.85pt;margin-top:70.9pt;width:386.5pt;height:671.6pt;z-index:8;mso-position-horizontal-relative:page;mso-position-vertical-relative:page" stroked="f">
            <v:textbox style="mso-next-textbox:#_x0000_s40681" inset="0,0,0,0">
              <w:txbxContent>
                <w:p w:rsidR="006F38BA" w:rsidRDefault="006F38BA">
                  <w:pPr>
                    <w:pStyle w:val="OCRStyle3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(ג) אחרי סימן 6 יבוא:</w:t>
                  </w:r>
                </w:p>
                <w:p w:rsidR="006F38BA" w:rsidRDefault="006F38BA">
                  <w:pPr>
                    <w:pStyle w:val="OCRStyle3"/>
                    <w:ind w:left="1530"/>
                    <w:rPr>
                      <w:rtl/>
                    </w:rPr>
                  </w:pPr>
                  <w:r>
                    <w:rPr>
                      <w:rtl/>
                    </w:rPr>
                    <w:t>"6א. תביעה לשיפוי נגד צד שלישי ניתן להגיש אף לאחר תום השנה האמורה</w:t>
                  </w:r>
                </w:p>
                <w:p w:rsidR="006F38BA" w:rsidRDefault="006F38BA">
                  <w:pPr>
                    <w:pStyle w:val="OCRStyle3"/>
                    <w:ind w:left="1530"/>
                    <w:rPr>
                      <w:rtl/>
                    </w:rPr>
                  </w:pPr>
                  <w:r>
                    <w:rPr>
                      <w:rtl/>
                    </w:rPr>
                    <w:t>בסימן 6, אם הוגשה תוך פרק הזמן שבו מותר להגישה על פי הדין החל בבית</w:t>
                  </w:r>
                </w:p>
                <w:p w:rsidR="006F38BA" w:rsidRDefault="006F38BA">
                  <w:pPr>
                    <w:pStyle w:val="OCRStyle3"/>
                    <w:ind w:left="1530"/>
                    <w:rPr>
                      <w:rtl/>
                    </w:rPr>
                  </w:pPr>
                  <w:r>
                    <w:rPr>
                      <w:rtl/>
                    </w:rPr>
                    <w:t>המשפט הדן בה, ובלבד שלא יפחת משלושה חדשים מהמועד שבו התובע את</w:t>
                  </w:r>
                </w:p>
                <w:p w:rsidR="006F38BA" w:rsidRDefault="006F38BA">
                  <w:pPr>
                    <w:pStyle w:val="OCRStyle3"/>
                    <w:ind w:left="1534"/>
                    <w:rPr>
                      <w:rtl/>
                    </w:rPr>
                  </w:pPr>
                  <w:r>
                    <w:rPr>
                      <w:rtl/>
                    </w:rPr>
                    <w:t>השיפוי יישב את התביעה או שבו נמסרה לו הזמנה לדין בתביעה שהוגשה</w:t>
                  </w:r>
                </w:p>
                <w:p w:rsidR="006F38BA" w:rsidRDefault="006F38BA">
                  <w:pPr>
                    <w:pStyle w:val="OCRStyle3"/>
                    <w:ind w:left="1534"/>
                    <w:rPr>
                      <w:rtl/>
                    </w:rPr>
                  </w:pPr>
                  <w:r>
                    <w:rPr>
                      <w:rtl/>
                    </w:rPr>
                    <w:t>נגדו".</w:t>
                  </w:r>
                </w:p>
                <w:p w:rsidR="006F38BA" w:rsidRDefault="006F38BA">
                  <w:pPr>
                    <w:pStyle w:val="OCRStyle3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 xml:space="preserve">(3) בסעיף </w:t>
                  </w:r>
                  <w:r>
                    <w:t>IV</w:t>
                  </w:r>
                  <w:r>
                    <w:rPr>
                      <w:rtl/>
                    </w:rPr>
                    <w:t>, במקום סימן 5 יבוא:</w:t>
                  </w:r>
                </w:p>
                <w:p w:rsidR="006F38BA" w:rsidRDefault="006F38BA">
                  <w:pPr>
                    <w:pStyle w:val="OCRStyle3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"5. (א) המוביל וכלי השיט לא יהיו אחראים לכל הפסד או נזק שנגרם לטובין או</w:t>
                  </w:r>
                </w:p>
                <w:p w:rsidR="006F38BA" w:rsidRDefault="006F38BA">
                  <w:pPr>
                    <w:pStyle w:val="OCRStyle3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בקשר אתם, בשיעור העולה על סכום השווה ל-666.67 יחידות חישוב כמשמעותן</w:t>
                  </w:r>
                </w:p>
                <w:p w:rsidR="006F38BA" w:rsidRDefault="006F38BA">
                  <w:pPr>
                    <w:pStyle w:val="OCRStyle3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בפסקה (ד), לכל חבילה או יחידה, או השווה ל-2 יחידות חישוב לכל קילוגרם של</w:t>
                  </w:r>
                </w:p>
                <w:p w:rsidR="006F38BA" w:rsidRDefault="006F38BA">
                  <w:pPr>
                    <w:pStyle w:val="OCRStyle3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משקל ברוטו של הטובין אשר אבדו או ניזוקו - הכל לפי השיעור הגבוה יותר:</w:t>
                  </w:r>
                </w:p>
                <w:p w:rsidR="006F38BA" w:rsidRDefault="006F38BA">
                  <w:pPr>
                    <w:pStyle w:val="OCRStyle3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ההגבלה האמורה תחול זולת אם הצהיר שוגר הטובין על טיבם ועל שוויים לפני</w:t>
                  </w:r>
                </w:p>
                <w:p w:rsidR="006F38BA" w:rsidRDefault="006F38BA">
                  <w:pPr>
                    <w:pStyle w:val="OCRStyle3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שליחתם, והצהרתו כאמור נכללה בשטר המטען.</w:t>
                  </w:r>
                </w:p>
                <w:p w:rsidR="006F38BA" w:rsidRDefault="006F38BA">
                  <w:pPr>
                    <w:pStyle w:val="OCRStyle3"/>
                    <w:ind w:left="1516"/>
                    <w:rPr>
                      <w:rtl/>
                    </w:rPr>
                  </w:pPr>
                  <w:r>
                    <w:rPr>
                      <w:rtl/>
                    </w:rPr>
                    <w:t>(ב) הסכום הכולל המגיע יחושב בהתייחס לערך הטובין במקום ובזמן</w:t>
                  </w:r>
                </w:p>
                <w:p w:rsidR="006F38BA" w:rsidRDefault="006F38BA">
                  <w:pPr>
                    <w:pStyle w:val="OCRStyle3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שנפרקו, או שהיו אמורים להיפרק מכלי השיט, בהתאם לחוזה ההובלה; ערך הטובין</w:t>
                  </w:r>
                </w:p>
                <w:p w:rsidR="006F38BA" w:rsidRDefault="006F38BA">
                  <w:pPr>
                    <w:pStyle w:val="OCRStyle3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ייקבע בהתאם למחירם בבורסת הטובין, ובהעדר מחיר כאמור - לפי מחיר השוק,</w:t>
                  </w:r>
                </w:p>
                <w:p w:rsidR="006F38BA" w:rsidRDefault="006F38BA">
                  <w:pPr>
                    <w:pStyle w:val="OCRStyle3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ובאין מחיר שוק - לפי ערכם הרגיל של טובין מסוג ומאיכות דומים.</w:t>
                  </w:r>
                </w:p>
                <w:p w:rsidR="006F38BA" w:rsidRDefault="006F38BA">
                  <w:pPr>
                    <w:pStyle w:val="OCRStyle3"/>
                    <w:ind w:left="1526"/>
                    <w:rPr>
                      <w:rtl/>
                    </w:rPr>
                  </w:pPr>
                  <w:r>
                    <w:rPr>
                      <w:rtl/>
                    </w:rPr>
                    <w:t>(ג) מקום שמשתמשים במכולה, במכל, במשטח, או באמצעי תובלה דומה</w:t>
                  </w:r>
                </w:p>
                <w:p w:rsidR="006F38BA" w:rsidRDefault="006F38BA">
                  <w:pPr>
                    <w:pStyle w:val="OCRStyle3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לכינוס טובין או להאחדתם, יראו את מספר החבילות או היחידות אשר פורטו בשטר</w:t>
                  </w:r>
                </w:p>
                <w:p w:rsidR="006F38BA" w:rsidRDefault="006F38BA">
                  <w:pPr>
                    <w:pStyle w:val="OCRStyle3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המטען כארוזות בתוך המכולה, המכל, המשטח או אמצעי ההובלה האחר, כמספר</w:t>
                  </w:r>
                </w:p>
                <w:p w:rsidR="006F38BA" w:rsidRDefault="006F38BA">
                  <w:pPr>
                    <w:pStyle w:val="OCRStyle3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החבילות או היחידות לענין סימן זה, ככל שמדובר בחבילות או ביחידות האמורות;</w:t>
                  </w:r>
                </w:p>
                <w:p w:rsidR="006F38BA" w:rsidRDefault="006F38BA">
                  <w:pPr>
                    <w:pStyle w:val="OCRStyle3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פרט לאמור לעיל, יראו מכולה, מכל, משטח, או אמצעי תובלה דומה, כחבילה או</w:t>
                  </w:r>
                </w:p>
                <w:p w:rsidR="006F38BA" w:rsidRDefault="006F38BA">
                  <w:pPr>
                    <w:pStyle w:val="OCRStyle3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כיחידה אחת.</w:t>
                  </w:r>
                </w:p>
                <w:p w:rsidR="006F38BA" w:rsidRDefault="006F38BA">
                  <w:pPr>
                    <w:pStyle w:val="OCRStyle3"/>
                    <w:ind w:left="1526"/>
                    <w:rPr>
                      <w:rtl/>
                    </w:rPr>
                  </w:pPr>
                  <w:r>
                    <w:rPr>
                      <w:rtl/>
                    </w:rPr>
                    <w:t>(ד) (1) יחידת החישוב הנזכרת בפסקה (א) היא "זכות המשיכה המיוחדת",</w:t>
                  </w:r>
                </w:p>
                <w:p w:rsidR="006F38BA" w:rsidRDefault="006F38BA">
                  <w:pPr>
                    <w:pStyle w:val="OCRStyle3"/>
                    <w:ind w:left="1897"/>
                    <w:rPr>
                      <w:rtl/>
                    </w:rPr>
                  </w:pPr>
                  <w:r>
                    <w:rPr>
                      <w:rtl/>
                    </w:rPr>
                    <w:t>כפי שהוגדרה כידי קרן המטבע הבין לאומית, ושוויה במטבע ישראלי</w:t>
                  </w:r>
                </w:p>
                <w:p w:rsidR="006F38BA" w:rsidRDefault="006F38BA">
                  <w:pPr>
                    <w:pStyle w:val="OCRStyle3"/>
                    <w:ind w:left="1901"/>
                    <w:rPr>
                      <w:rtl/>
                    </w:rPr>
                  </w:pPr>
                  <w:r>
                    <w:rPr>
                      <w:rtl/>
                    </w:rPr>
                    <w:t>יחושב על פי שיטת החישוב של הקרן האמורה במועד ההמרה;</w:t>
                  </w:r>
                </w:p>
                <w:p w:rsidR="006F38BA" w:rsidRDefault="006F38BA">
                  <w:pPr>
                    <w:pStyle w:val="OCRStyle3"/>
                    <w:ind w:left="1897"/>
                    <w:rPr>
                      <w:rtl/>
                    </w:rPr>
                  </w:pPr>
                  <w:r>
                    <w:rPr>
                      <w:rtl/>
                    </w:rPr>
                    <w:t>(2) הסכום כאמור בפסקה (א) יומר למטבע ישראלי על בסיס שוויו ביום</w:t>
                  </w:r>
                </w:p>
                <w:p w:rsidR="006F38BA" w:rsidRDefault="006F38BA">
                  <w:pPr>
                    <w:pStyle w:val="OCRStyle3"/>
                    <w:ind w:left="1901"/>
                    <w:rPr>
                      <w:rtl/>
                    </w:rPr>
                  </w:pPr>
                  <w:r>
                    <w:rPr>
                      <w:rtl/>
                    </w:rPr>
                    <w:t>התשלום; ואולם אם הוגשה תביעה, יקבע בית המשפט את הסכום המגיע</w:t>
                  </w:r>
                </w:p>
                <w:p w:rsidR="006F38BA" w:rsidRDefault="006F38BA">
                  <w:pPr>
                    <w:pStyle w:val="OCRStyle3"/>
                    <w:ind w:left="1901"/>
                    <w:rPr>
                      <w:rtl/>
                    </w:rPr>
                  </w:pPr>
                  <w:r>
                    <w:rPr>
                      <w:rtl/>
                    </w:rPr>
                    <w:t>על ידי המרת יחידת החישוב האמורה במטבע ישראלי כפי שער יחידת</w:t>
                  </w:r>
                </w:p>
                <w:p w:rsidR="006F38BA" w:rsidRDefault="006F38BA">
                  <w:pPr>
                    <w:pStyle w:val="OCRStyle3"/>
                    <w:ind w:left="1904"/>
                    <w:rPr>
                      <w:rtl/>
                    </w:rPr>
                  </w:pPr>
                  <w:r>
                    <w:rPr>
                      <w:rtl/>
                    </w:rPr>
                    <w:t>החישוב ביום מתן פסק הדין; על סכום שקבע בית המשפט כאמור, יווספו</w:t>
                  </w:r>
                </w:p>
                <w:p w:rsidR="006F38BA" w:rsidRDefault="006F38BA">
                  <w:pPr>
                    <w:pStyle w:val="OCRStyle3"/>
                    <w:ind w:left="1904"/>
                    <w:rPr>
                      <w:rtl/>
                    </w:rPr>
                  </w:pPr>
                  <w:r>
                    <w:rPr>
                      <w:rtl/>
                    </w:rPr>
                    <w:t>הפרשי הצמדה וריבית, כמשמעותם בחוק פסיקת ריבית והצמדה,</w:t>
                  </w:r>
                </w:p>
                <w:p w:rsidR="006F38BA" w:rsidRDefault="006F38BA">
                  <w:pPr>
                    <w:pStyle w:val="OCRStyle3"/>
                    <w:ind w:left="1904"/>
                    <w:rPr>
                      <w:rtl/>
                    </w:rPr>
                  </w:pPr>
                  <w:r>
                    <w:rPr>
                      <w:rtl/>
                    </w:rPr>
                    <w:t>התשכ"א-1961 3, עד יום התשלום.</w:t>
                  </w:r>
                </w:p>
                <w:p w:rsidR="006F38BA" w:rsidRDefault="006F38BA">
                  <w:pPr>
                    <w:pStyle w:val="OCRStyle3"/>
                    <w:ind w:left="1904"/>
                    <w:rPr>
                      <w:rtl/>
                    </w:rPr>
                  </w:pPr>
                  <w:r>
                    <w:rPr>
                      <w:rtl/>
                    </w:rPr>
                    <w:t>(3) ההמרה למטבע ישראלי תהיה על פי השער הגבוה שיש לשלם על</w:t>
                  </w:r>
                </w:p>
                <w:p w:rsidR="006F38BA" w:rsidRDefault="006F38BA">
                  <w:pPr>
                    <w:pStyle w:val="OCRStyle3"/>
                    <w:ind w:left="1904"/>
                    <w:rPr>
                      <w:rtl/>
                    </w:rPr>
                  </w:pPr>
                  <w:r>
                    <w:rPr>
                      <w:rtl/>
                    </w:rPr>
                    <w:t>העברות בנקאיות בתאגיד בנקאי עבור דולר של ארצות הברית של</w:t>
                  </w:r>
                </w:p>
                <w:p w:rsidR="006F38BA" w:rsidRDefault="006F38BA">
                  <w:pPr>
                    <w:pStyle w:val="OCRStyle3"/>
                    <w:ind w:left="1904"/>
                    <w:rPr>
                      <w:rtl/>
                    </w:rPr>
                  </w:pPr>
                  <w:r>
                    <w:rPr>
                      <w:rtl/>
                    </w:rPr>
                    <w:t>אמריקה כשהוא מוכפל ביחס שבין הדולר לבין זכות המשיכה המיוחדת.</w:t>
                  </w:r>
                </w:p>
                <w:p w:rsidR="006F38BA" w:rsidRDefault="006F38BA">
                  <w:pPr>
                    <w:pStyle w:val="OCRStyle3"/>
                    <w:ind w:left="1530"/>
                    <w:rPr>
                      <w:rtl/>
                    </w:rPr>
                  </w:pPr>
                  <w:r>
                    <w:rPr>
                      <w:rtl/>
                    </w:rPr>
                    <w:t>(ה) המוביל וכלי השיט לא יהיו זכאים ליהנות מהגבלת האחריות כאמור</w:t>
                  </w:r>
                </w:p>
                <w:p w:rsidR="006F38BA" w:rsidRDefault="006F38BA">
                  <w:pPr>
                    <w:pStyle w:val="OCRStyle3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בפסקה (א), אם הוכח כי הנזק נגרם כתוצאה ממעשה או ממחדל של המוביל, שנעשה</w:t>
                  </w:r>
                </w:p>
                <w:p w:rsidR="006F38BA" w:rsidRDefault="006F38BA">
                  <w:pPr>
                    <w:pStyle w:val="OCRStyle3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בכוונה לגרום נזק או בחוסר איכפתיות ובידיעה שקרוב לודאי שייגרם נזק.</w:t>
                  </w:r>
                </w:p>
                <w:p w:rsidR="006F38BA" w:rsidRPr="00E06286" w:rsidRDefault="006F38BA">
                  <w:pPr>
                    <w:pStyle w:val="OCRStyle3"/>
                    <w:ind w:left="320"/>
                  </w:pPr>
                  <w:r>
                    <w:rPr>
                      <w:rtl/>
                    </w:rPr>
                    <w:t>3 ס"ח התשכ"א, עמי 192: התשמ"ז, עמ' 14.</w:t>
                  </w:r>
                </w:p>
              </w:txbxContent>
            </v:textbox>
            <w10:wrap anchorx="page" anchory="page"/>
          </v:shape>
        </w:pict>
      </w:r>
    </w:p>
    <w:p w:rsidR="006F38BA" w:rsidRDefault="006F38BA">
      <w:pPr>
        <w:rPr>
          <w:rtl/>
        </w:rPr>
      </w:pPr>
      <w:r>
        <w:rPr>
          <w:rtl/>
        </w:rPr>
        <w:br w:type="page"/>
      </w:r>
    </w:p>
    <w:p w:rsidR="006F38BA" w:rsidRDefault="00000000">
      <w:pPr>
        <w:rPr>
          <w:rtl/>
        </w:rPr>
      </w:pPr>
      <w:r>
        <w:pict>
          <v:shape id="_x0000_s40682" o:spid="_x0000_s1034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0682" inset="0,0,0,0">
              <w:txbxContent>
                <w:p w:rsidR="006F38BA" w:rsidRDefault="006F38BA">
                  <w:r>
                    <w:rPr>
                      <w:rtl/>
                    </w:rPr>
                    <w:t>53                                          ספר החוקים 1379                   י"ז בשבט התשנ"ב 22.01.1992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83" o:spid="_x0000_s1035" type="#_x0000_t202" style="position:absolute;left:0;text-align:left;margin-left:387.5pt;margin-top:715.9pt;width:175.65pt;height:18pt;z-index:15;mso-position-horizontal-relative:page;mso-position-vertical-relative:page" stroked="f">
            <v:textbox style="mso-next-textbox:#_x0000_s40683" inset="0,0,0,0">
              <w:txbxContent>
                <w:p w:rsidR="006F38BA" w:rsidRDefault="006F38B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0684" o:spid="_x0000_s1036" type="#_x0000_t202" style="position:absolute;left:0;text-align:left;margin-left:185.35pt;margin-top:545.4pt;width:80pt;height:38.8pt;z-index:14;mso-position-horizontal-relative:page;mso-position-vertical-relative:page" stroked="f">
            <v:textbox style="mso-next-textbox:#_x0000_s40684" inset="0,0,0,0">
              <w:txbxContent>
                <w:p w:rsidR="006F38BA" w:rsidRDefault="006F38BA">
                  <w:pPr>
                    <w:pStyle w:val="OCRStyle4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6F38BA" w:rsidRDefault="006F38BA">
                  <w:pPr>
                    <w:pStyle w:val="OCRStyle4"/>
                    <w:ind w:left="119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85" o:spid="_x0000_s1037" type="#_x0000_t202" style="position:absolute;left:0;text-align:left;margin-left:274.85pt;margin-top:569.55pt;width:89.5pt;height:37.05pt;z-index:13;mso-position-horizontal-relative:page;mso-position-vertical-relative:page" stroked="f">
            <v:textbox style="mso-next-textbox:#_x0000_s40685" inset="0,0,0,0">
              <w:txbxContent>
                <w:p w:rsidR="006F38BA" w:rsidRDefault="006F38BA">
                  <w:pPr>
                    <w:pStyle w:val="OCRStyle4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6F38BA" w:rsidRDefault="006F38BA">
                  <w:pPr>
                    <w:pStyle w:val="OCRStyle4"/>
                    <w:ind w:left="10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86" o:spid="_x0000_s1038" type="#_x0000_t202" style="position:absolute;left:0;text-align:left;margin-left:370.3pt;margin-top:540.25pt;width:94.85pt;height:37.8pt;z-index:12;mso-position-horizontal-relative:page;mso-position-vertical-relative:page" stroked="f">
            <v:textbox style="mso-next-textbox:#_x0000_s40686" inset="0,0,0,0">
              <w:txbxContent>
                <w:p w:rsidR="006F38BA" w:rsidRDefault="006F38BA">
                  <w:pPr>
                    <w:pStyle w:val="OCRStyle4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F38BA" w:rsidRDefault="006F38BA">
                  <w:pPr>
                    <w:pStyle w:val="OCRStyle4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87" o:spid="_x0000_s1039" type="#_x0000_t202" style="position:absolute;left:0;text-align:left;margin-left:471.85pt;margin-top:567.8pt;width:78.4pt;height:49.9pt;z-index:11;mso-position-horizontal-relative:page;mso-position-vertical-relative:page" stroked="f">
            <v:textbox style="mso-next-textbox:#_x0000_s40687" inset="0,0,0,0">
              <w:txbxContent>
                <w:p w:rsidR="006F38BA" w:rsidRDefault="006F38BA">
                  <w:pPr>
                    <w:pStyle w:val="OCRStyle4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F38BA" w:rsidRDefault="006F38BA">
                  <w:pPr>
                    <w:pStyle w:val="OCRStyle4"/>
                    <w:ind w:left="2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88" o:spid="_x0000_s1040" type="#_x0000_t202" style="position:absolute;left:0;text-align:left;margin-left:98.45pt;margin-top:64.3pt;width:463.9pt;height:476pt;z-index:10;mso-position-horizontal-relative:page;mso-position-vertical-relative:page" stroked="f">
            <v:textbox style="mso-next-textbox:#_x0000_s4068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5"/>
                    <w:gridCol w:w="7009"/>
                  </w:tblGrid>
                  <w:tr w:rsidR="006F38BA" w:rsidRPr="006F38BA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5" w:type="pct"/>
                      </w:tcPr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משנכללה בשטר המטען ההצהרה שצוינה בפסקה (א), היא לא תהיה ראיה</w:t>
                        </w:r>
                      </w:p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מחייבת או חותכת כלפי המוביל, אלא ראיה לכאורה בלבד.</w:t>
                        </w:r>
                      </w:p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בהסכמה בין השוגר לבין המוביל, קברניט כלי השיט או נציג אחר של</w:t>
                        </w:r>
                      </w:p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המוביל, ניתן לקבוע שיעורים מרביים שונים מאלה המפורטים בפסקה (א), ובלבד</w:t>
                        </w:r>
                      </w:p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ששיעורים כאמור לא יפחתו מן האמור באותה פסקה.</w:t>
                        </w:r>
                      </w:p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המוביל וכלי השיט לא יהיו אחראים לכל הפסד או נזק שייגרם לטובין, או</w:t>
                        </w:r>
                      </w:p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איתם, אם מסר השוגר בשטר המטען הצהרה כוזבת, ביודעין, אודות טיב</w:t>
                        </w:r>
                      </w:p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הטובין או שוויים."</w:t>
                        </w:r>
                      </w:p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(4) אחרי סעיף </w:t>
                        </w:r>
                        <w:r>
                          <w:t>IV</w:t>
                        </w:r>
                        <w:r>
                          <w:rPr>
                            <w:rtl/>
                          </w:rPr>
                          <w:t xml:space="preserve"> יבוא:</w:t>
                        </w:r>
                      </w:p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"סעיף </w:t>
                        </w:r>
                        <w:r>
                          <w:t>IV</w:t>
                        </w:r>
                        <w:r>
                          <w:rPr>
                            <w:rtl/>
                          </w:rPr>
                          <w:t>א. - אחריות מוביל ושלוחיו</w:t>
                        </w:r>
                      </w:p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ההגנות והגבלת האחריות שלפי תקנות אלה יחולו על כל תביעה נגד</w:t>
                        </w:r>
                      </w:p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המוביל בשל הפסד או נזק לטובין שהם נושא חוזה ההובלה, בין אס היא תביעה</w:t>
                        </w:r>
                      </w:p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חוזית ובין אם היא תביעה בנזיקין.</w:t>
                        </w:r>
                      </w:p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הוגשה תביעה כאמור נגד עובדו של המוביל או נגד שלוחו, יהיה עובד או</w:t>
                        </w:r>
                      </w:p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שלוח כאמור זכאי לאותן ההגנות והגבלות האחריות אשר המוביל זכאי להן על</w:t>
                        </w:r>
                      </w:p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תקנות אלה, ובלבד שעובד או שלוח כאמור אינו קבלן עצמאי.</w:t>
                        </w:r>
                      </w:p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סך כל הסכומים אשר ניתן לגבותם ממוביל, מעובד ומשלוח כאמור, לא</w:t>
                        </w:r>
                      </w:p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בשום מקרה על שיעור ההגבלה שנקבע כתוספת זו.</w:t>
                        </w:r>
                      </w:p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על אף האמור בסימנים 2 ו-3, עובדו של המוביל או שלוחו לא יהיו זכאים</w:t>
                        </w:r>
                      </w:p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להסתמך על הוראות סעיף זה, אם הוכח כי הנזק נגרם כתוצאה ממעשה או</w:t>
                        </w:r>
                      </w:p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ממחדל של העובד או של השלוח, לפי הענין, שנעשה ככוונה לגרום נזק או</w:t>
                        </w:r>
                      </w:p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בחוסר איכפתיות ובידיעה שקרוב לודאי שייגרם נזק".</w:t>
                        </w:r>
                      </w:p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)5( במקום סעיף </w:t>
                        </w:r>
                        <w:r>
                          <w:t>IX</w:t>
                        </w:r>
                        <w:r>
                          <w:rPr>
                            <w:rtl/>
                          </w:rPr>
                          <w:t xml:space="preserve"> יבוא:</w:t>
                        </w:r>
                      </w:p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"סעיף </w:t>
                        </w:r>
                        <w:r>
                          <w:t>IX</w:t>
                        </w:r>
                        <w:r>
                          <w:rPr>
                            <w:rtl/>
                          </w:rPr>
                          <w:t>. - שמירת דינים</w:t>
                        </w:r>
                      </w:p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בהוראות תוספת זו כדי לפגוע בהוראות כל דין אחר וכל אמנה בין-לאומית</w:t>
                        </w:r>
                      </w:p>
                      <w:p w:rsidR="006F38BA" w:rsidRP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המסדירים אחריות בשל נזק גרעיני."</w:t>
                        </w:r>
                      </w:p>
                    </w:tc>
                  </w:tr>
                  <w:tr w:rsidR="006F38BA" w:rsidRPr="006F38BA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6F38BA" w:rsidRP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סעיף 8(א) לפקודה, כנוסחו בחוק זה, יחול גם על שטרי מטען שנעשו לפני תחילתו של חוק</w:t>
                        </w:r>
                      </w:p>
                      <w:p w:rsidR="006F38BA" w:rsidRPr="006F38BA" w:rsidRDefault="006F38B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</w:tr>
                </w:tbl>
                <w:p w:rsidR="006F38BA" w:rsidRDefault="006F38B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E508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508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ABC8AE0-F3F1-4642-AD8A-0712043FD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E508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73D8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06286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F38B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2008-04-07T08:46:00Z</dcterms:created>
  <dcterms:modified xsi:type="dcterms:W3CDTF">2008-04-07T08:46:00Z</dcterms:modified>
</cp:coreProperties>
</file>