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5D66" w:rsidRDefault="00DA5D66">
      <w:pPr>
        <w:rPr>
          <w:rtl/>
        </w:rPr>
      </w:pPr>
    </w:p>
    <w:p w:rsidR="00DA5D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2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725" inset="0,0,0,0">
              <w:txbxContent>
                <w:p w:rsidR="00DA5D66" w:rsidRDefault="00DA5D66">
                  <w:r>
                    <w:rPr>
                      <w:rtl/>
                    </w:rPr>
                    <w:t>137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6" o:spid="_x0000_s1026" type="#_x0000_t202" style="position:absolute;left:0;text-align:left;margin-left:342.95pt;margin-top:714.35pt;width:215.25pt;height:22.35pt;z-index:8;mso-position-horizontal-relative:page;mso-position-vertical-relative:page" stroked="f">
            <v:textbox style="mso-next-textbox:#_x0000_s40726" inset="0,0,0,0">
              <w:txbxContent>
                <w:p w:rsidR="00DA5D66" w:rsidRDefault="00DA5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27" o:spid="_x0000_s1027" type="#_x0000_t202" style="position:absolute;left:0;text-align:left;margin-left:174.05pt;margin-top:635.15pt;width:374.6pt;height:44.75pt;z-index:7;mso-position-horizontal-relative:page;mso-position-vertical-relative:page" stroked="f">
            <v:textbox style="mso-next-textbox:#_x0000_s40727" inset="0,0,0,0">
              <w:txbxContent>
                <w:p w:rsidR="00DA5D66" w:rsidRDefault="00DA5D6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ה' באדר ב' התשנ"ב (10 במרס 1992): הגעת החוק ודברי הסבר פורסמו בהצעות חוק 2104, מיום</w:t>
                  </w:r>
                </w:p>
                <w:p w:rsidR="00DA5D66" w:rsidRPr="00DA5D66" w:rsidRDefault="00DA5D6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כ"ב בשבט התשנ"ב (27 בינואר 1992), בעמ'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8" o:spid="_x0000_s1028" type="#_x0000_t202" style="position:absolute;left:0;text-align:left;margin-left:181.95pt;margin-top:562.85pt;width:74.85pt;height:31.1pt;z-index:6;mso-position-horizontal-relative:page;mso-position-vertical-relative:page" stroked="f">
            <v:textbox style="mso-next-textbox:#_x0000_s40728" inset="0,0,0,0">
              <w:txbxContent>
                <w:p w:rsidR="00DA5D66" w:rsidRDefault="00DA5D6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DA5D66" w:rsidRDefault="00DA5D6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29" o:spid="_x0000_s1029" type="#_x0000_t202" style="position:absolute;left:0;text-align:left;margin-left:262.75pt;margin-top:586.05pt;width:90.5pt;height:33.65pt;z-index:5;mso-position-horizontal-relative:page;mso-position-vertical-relative:page" stroked="f">
            <v:textbox style="mso-next-textbox:#_x0000_s40729" inset="0,0,0,0">
              <w:txbxContent>
                <w:p w:rsidR="00DA5D66" w:rsidRDefault="00DA5D6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A5D66" w:rsidRDefault="00DA5D6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0" o:spid="_x0000_s1030" type="#_x0000_t202" style="position:absolute;left:0;text-align:left;margin-left:359.15pt;margin-top:562.05pt;width:92.05pt;height:30.1pt;z-index:4;mso-position-horizontal-relative:page;mso-position-vertical-relative:page" stroked="f">
            <v:textbox style="mso-next-textbox:#_x0000_s40730" inset="0,0,0,0">
              <w:txbxContent>
                <w:p w:rsidR="00DA5D66" w:rsidRDefault="00DA5D6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A5D66" w:rsidRDefault="00DA5D66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1" o:spid="_x0000_s1031" type="#_x0000_t202" style="position:absolute;left:0;text-align:left;margin-left:454pt;margin-top:585.25pt;width:110.1pt;height:37.05pt;z-index:3;mso-position-horizontal-relative:page;mso-position-vertical-relative:page" stroked="f">
            <v:textbox style="mso-next-textbox:#_x0000_s40731" inset="0,0,0,0">
              <w:txbxContent>
                <w:p w:rsidR="00DA5D66" w:rsidRDefault="00DA5D66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A5D66" w:rsidRDefault="00DA5D66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32" o:spid="_x0000_s1032" type="#_x0000_t202" style="position:absolute;left:0;text-align:left;margin-left:111.3pt;margin-top:308.85pt;width:448.45pt;height:249.7pt;z-index:2;mso-position-horizontal-relative:page;mso-position-vertical-relative:page" stroked="f">
            <v:textbox style="mso-next-textbox:#_x0000_s407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136"/>
                  </w:tblGrid>
                  <w:tr w:rsidR="00DA5D66" w:rsidRPr="00DA5D66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יקום מתואם" - ((</w:t>
                        </w:r>
                        <w:r>
                          <w:t>Coordinated Universal Time UTC) INPL</w:t>
                        </w:r>
                        <w:r>
                          <w:rPr>
                            <w:rtl/>
                          </w:rPr>
                          <w:t>) : בסיס הזמן המקובל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בעולם, לצרכי חוק, לתיאום בין לאומי ולצרכים אחרים, מבוסס על קצב ההשתנות של זמן אטומי,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התאמה לתנועת כדור הארץ: נקבע בישראל במעבדה הלאומית לפיסיקה של משרד התעשיה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והמסחר (מל"פ) המהווה חלק מהמערכת העולמית של מעבדות לאומיות לקביעת הזמן שבאחריות</w:t>
                        </w:r>
                      </w:p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הבין לאומי למשקלות ולמידות ((</w:t>
                        </w:r>
                        <w:r>
                          <w:t>Bureau international des Point et Mesures )BIPM</w:t>
                        </w:r>
                        <w:r>
                          <w:rPr>
                            <w:rtl/>
                          </w:rPr>
                          <w:t>).</w:t>
                        </w:r>
                      </w:p>
                    </w:tc>
                  </w:tr>
                  <w:tr w:rsidR="00DA5D66" w:rsidRPr="00DA5D66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בישראל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הזמן בישראל יקדים את זמן יקום מתואם בשעתיים.</w:t>
                        </w:r>
                      </w:p>
                    </w:tc>
                  </w:tr>
                  <w:tr w:rsidR="00DA5D66" w:rsidRPr="00DA5D66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הזמן</w:t>
                        </w:r>
                      </w:p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במשך 150 ימים לפחות בכל שנה, במועדים שיקבע שר הפנים בתיאום עם ועדות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 (להלן - הועדה), יוקדם הזמן בישראל בשעה אחת נוספת, כך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שיקדים את זמן יקום מתואם בשלוש שעות.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המועדים שיקבע שר הפנים, כאמור בסעיף קטן (א), ייקבעו מדי פעם בפעם לתקופה</w:t>
                        </w:r>
                      </w:p>
                      <w:p w:rsid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לפחות שלוש שנים מראש; השר, בתיאום עם הועדה, רשאי לשנות מועדים אלה, ובלבד</w:t>
                        </w:r>
                      </w:p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שהשינוי ייעשה לפחות ששה חדשים מראש.</w:t>
                        </w:r>
                      </w:p>
                    </w:tc>
                  </w:tr>
                  <w:tr w:rsidR="00DA5D66" w:rsidRPr="00DA5D66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DA5D66" w:rsidRPr="00DA5D66" w:rsidRDefault="00DA5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פקודת קביעת הזמן, 4940 - בטלה.</w:t>
                        </w:r>
                      </w:p>
                    </w:tc>
                  </w:tr>
                </w:tbl>
                <w:p w:rsidR="00DA5D66" w:rsidRDefault="00DA5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33" o:spid="_x0000_s1033" type="#_x0000_t202" style="position:absolute;left:0;text-align:left;margin-left:249.1pt;margin-top:291.6pt;width:207.5pt;height:13.85pt;z-index:1;mso-position-horizontal-relative:page;mso-position-vertical-relative:page" stroked="f">
            <v:textbox style="mso-next-textbox:#_x0000_s40733" inset="0,0,0,0">
              <w:txbxContent>
                <w:p w:rsidR="00DA5D66" w:rsidRPr="00DA5D66" w:rsidRDefault="00DA5D66">
                  <w:pPr>
                    <w:pStyle w:val="OCRStyle1"/>
                    <w:ind w:left="28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קביעת הזמן,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5D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CD728C-9124-4895-9C87-7A66F7E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5D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2008-04-07T13:02:00Z</dcterms:created>
  <dcterms:modified xsi:type="dcterms:W3CDTF">2008-04-07T13:02:00Z</dcterms:modified>
</cp:coreProperties>
</file>