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B3027" w:rsidRDefault="001B3027">
      <w:pPr>
        <w:rPr>
          <w:rtl/>
        </w:rPr>
      </w:pPr>
    </w:p>
    <w:p w:rsidR="001B302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75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0759" inset="0,0,0,0">
              <w:txbxContent>
                <w:p w:rsidR="000523EE" w:rsidRDefault="000523EE">
                  <w:r>
                    <w:rPr>
                      <w:rtl/>
                    </w:rPr>
                    <w:t>58                                          ספר החוקים 1380                   י"ח בשבט התשנ"ב 23.01.1992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60" o:spid="_x0000_s1026" type="#_x0000_t202" style="position:absolute;left:0;text-align:left;margin-left:74.6pt;margin-top:679.3pt;width:404.7pt;height:73.25pt;z-index:3;mso-position-horizontal-relative:page;mso-position-vertical-relative:page" stroked="f">
            <v:textbox style="mso-next-textbox:#_x0000_s40760" inset="0,0,0,0">
              <w:txbxContent>
                <w:p w:rsidR="000523EE" w:rsidRDefault="000523EE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ס' בשבט התשנ"ב (14 בינואר 1992); הגעת החוק ודברי הסבר פורסמו בהצעות חוק 2090, מיום כ'</w:t>
                  </w:r>
                </w:p>
                <w:p w:rsidR="000523EE" w:rsidRDefault="000523EE">
                  <w:pPr>
                    <w:pStyle w:val="OCRStyle1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בכסלו התשנ"ב (27 בנובמבר 1991), עמ' 82.</w:t>
                  </w:r>
                </w:p>
                <w:p w:rsidR="000523EE" w:rsidRPr="001B3027" w:rsidRDefault="000523EE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1 ס"ח התשכ''ט, עמ' 258! התשנ"א, עמ' 117.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61" o:spid="_x0000_s1027" type="#_x0000_t202" style="position:absolute;left:0;text-align:left;margin-left:77.2pt;margin-top:106.9pt;width:467.5pt;height:571.65pt;z-index:2;mso-position-horizontal-relative:page;mso-position-vertical-relative:page" stroked="f">
            <v:textbox style="mso-next-textbox:#_x0000_s4076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81"/>
                    <w:gridCol w:w="1137"/>
                    <w:gridCol w:w="1382"/>
                  </w:tblGrid>
                  <w:tr w:rsidR="000523EE" w:rsidRPr="001B3027">
                    <w:trPr>
                      <w:jc w:val="right"/>
                    </w:trPr>
                    <w:tc>
                      <w:tcPr>
                        <w:tcW w:w="4187" w:type="pct"/>
                        <w:gridSpan w:val="2"/>
                      </w:tcPr>
                      <w:p w:rsidR="000523EE" w:rsidRDefault="000523EE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המקרקעין, התשכ"ט - 1969 1(להלן - החוק העיקרי), האמור בסעיף 58 יסומן (א)</w:t>
                        </w:r>
                      </w:p>
                      <w:p w:rsidR="000523EE" w:rsidRDefault="000523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ואחריו יבוא:</w:t>
                        </w:r>
                      </w:p>
                      <w:p w:rsidR="000523EE" w:rsidRDefault="000523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אף האמור בסעיף קטן (א), לא יהיה בעל דירה חייב, בשל חלק מסויים של</w:t>
                        </w:r>
                      </w:p>
                      <w:p w:rsidR="000523EE" w:rsidRDefault="000523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הרכוש המשותף שהוצמד לדירתו או בשל חלק חיצוני לדירה, המהווים' חלק מהדירה לפי</w:t>
                        </w:r>
                      </w:p>
                      <w:p w:rsidR="000523EE" w:rsidRDefault="000523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רישומה, בהשתתפות בהוצאות הדרושות לחימום מים או להסקה ולהחזקה התקינה של</w:t>
                        </w:r>
                      </w:p>
                      <w:p w:rsidR="000523EE" w:rsidRDefault="000523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המערכת המרכזית לחימום מים או להסקה, אם החלק האמור אינו מחובר למערכת</w:t>
                        </w:r>
                      </w:p>
                      <w:p w:rsidR="000523EE" w:rsidRPr="001B3027" w:rsidRDefault="000523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 לחימום כאמור אלא אם כן נקבע בתקנון אחרת."</w:t>
                        </w:r>
                      </w:p>
                    </w:tc>
                    <w:tc>
                      <w:tcPr>
                        <w:tcW w:w="813" w:type="pct"/>
                      </w:tcPr>
                      <w:p w:rsidR="000523EE" w:rsidRPr="001B3027" w:rsidRDefault="000523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58</w:t>
                        </w:r>
                      </w:p>
                    </w:tc>
                  </w:tr>
                  <w:tr w:rsidR="000523EE" w:rsidRPr="001B3027">
                    <w:trPr>
                      <w:jc w:val="right"/>
                    </w:trPr>
                    <w:tc>
                      <w:tcPr>
                        <w:tcW w:w="4187" w:type="pct"/>
                        <w:gridSpan w:val="2"/>
                      </w:tcPr>
                      <w:p w:rsidR="000523EE" w:rsidRPr="001B3027" w:rsidRDefault="000523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59 לחוק העיקרי יבוא:</w:t>
                        </w:r>
                      </w:p>
                    </w:tc>
                    <w:tc>
                      <w:tcPr>
                        <w:tcW w:w="813" w:type="pct"/>
                      </w:tcPr>
                      <w:p w:rsidR="000523EE" w:rsidRPr="001B3027" w:rsidRDefault="000523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59</w:t>
                        </w:r>
                      </w:p>
                    </w:tc>
                  </w:tr>
                  <w:tr w:rsidR="000523EE">
                    <w:trPr>
                      <w:jc w:val="right"/>
                    </w:trPr>
                    <w:tc>
                      <w:tcPr>
                        <w:tcW w:w="3518" w:type="pct"/>
                      </w:tcPr>
                      <w:p w:rsidR="000523EE" w:rsidRDefault="000523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59. (א) מקום שבית משותף מורכב ממבנים אחדים או מאגפים אחדים אשר</w:t>
                        </w:r>
                      </w:p>
                      <w:p w:rsidR="000523EE" w:rsidRDefault="000523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אחד מהם כניסה נפרדת או מיתקנים נפרדים (להלן - בית מורכב) ובעלי</w:t>
                        </w:r>
                      </w:p>
                      <w:p w:rsidR="000523EE" w:rsidRDefault="000523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הדירות קבעו בתקנון כי הרכוש המשותף, כולו או חלק ממנו, שבתחומי כל</w:t>
                        </w:r>
                      </w:p>
                      <w:p w:rsidR="000523EE" w:rsidRDefault="000523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מבנה או אגף יהיה צמוד לדירות שבאותו מבנה או אגף, או שהחזקתו וניהולו</w:t>
                        </w:r>
                      </w:p>
                      <w:p w:rsidR="000523EE" w:rsidRDefault="000523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נפרדים, תחול חובת ההשתתפות בהוצאות ההחזקה והניהול של הרכוש</w:t>
                        </w:r>
                      </w:p>
                      <w:p w:rsidR="000523EE" w:rsidRDefault="000523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המשותף כאמור, על בעלי הדירות שבאותו מבנה או אגף בלבד; בעלי הדירות</w:t>
                        </w:r>
                      </w:p>
                      <w:p w:rsidR="000523EE" w:rsidRDefault="000523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לקבוע בתקנון שיקיימו אסיפה כללית ונציגות נפרדת לגבי אותו מבנה</w:t>
                        </w:r>
                      </w:p>
                      <w:p w:rsidR="000523EE" w:rsidRDefault="000523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אגף.</w:t>
                        </w:r>
                      </w:p>
                      <w:p w:rsidR="000523EE" w:rsidRDefault="000523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באין קביעה בתקנון כאמור בסעיף קטן (א), רשאי המפקח להורות</w:t>
                        </w:r>
                      </w:p>
                      <w:p w:rsidR="000523EE" w:rsidRDefault="000523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בית מורכב יתנהל כאמור בסעיף קטן (א) אם נוכח שנסיבות הענין מצדיקות</w:t>
                        </w:r>
                      </w:p>
                      <w:p w:rsidR="000523EE" w:rsidRDefault="000523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כן; הורה המפקח כאמור, יקבע את חלקי הרכוש המשותף שיחול עליהם</w:t>
                        </w:r>
                      </w:p>
                      <w:p w:rsidR="000523EE" w:rsidRDefault="000523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(א).</w:t>
                        </w:r>
                      </w:p>
                      <w:p w:rsidR="000523EE" w:rsidRDefault="000523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בקביעה שבית מורכב יתנהל כאמור בסעיף קטן (א) כדי לגרוע</w:t>
                        </w:r>
                      </w:p>
                      <w:p w:rsidR="000523EE" w:rsidRDefault="000523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מהוראות החוק החלות על הרכוש המשותף בבית כאמור, שהחזקתו וניהולו לא</w:t>
                        </w:r>
                      </w:p>
                      <w:p w:rsidR="000523EE" w:rsidRPr="001B3027" w:rsidRDefault="000523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הופרדו."</w:t>
                        </w:r>
                      </w:p>
                    </w:tc>
                    <w:tc>
                      <w:tcPr>
                        <w:tcW w:w="669" w:type="pct"/>
                      </w:tcPr>
                      <w:p w:rsidR="000523EE" w:rsidRDefault="000523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משותף</w:t>
                        </w:r>
                      </w:p>
                      <w:p w:rsidR="000523EE" w:rsidRDefault="000523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המורכב ממבנים</w:t>
                        </w:r>
                      </w:p>
                      <w:p w:rsidR="000523EE" w:rsidRPr="001B3027" w:rsidRDefault="000523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מאגסים</w:t>
                        </w:r>
                      </w:p>
                    </w:tc>
                    <w:tc>
                      <w:tcPr>
                        <w:tcW w:w="813" w:type="pct"/>
                      </w:tcPr>
                      <w:p w:rsidR="000523EE" w:rsidRDefault="000523E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0523EE" w:rsidRPr="001B3027">
                    <w:trPr>
                      <w:jc w:val="right"/>
                    </w:trPr>
                    <w:tc>
                      <w:tcPr>
                        <w:tcW w:w="4187" w:type="pct"/>
                        <w:gridSpan w:val="2"/>
                      </w:tcPr>
                      <w:p w:rsidR="000523EE" w:rsidRDefault="000523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62 לחוק העיקרי, אחרי סעיף קטן (א) יבוא:</w:t>
                        </w:r>
                      </w:p>
                      <w:p w:rsidR="000523EE" w:rsidRDefault="000523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הוצמד חלק מסויים מהרכוש המשותף לדירה פלונית, ניתן להעבירו לדירה אחרת</w:t>
                        </w:r>
                      </w:p>
                      <w:p w:rsidR="000523EE" w:rsidRPr="001B3027" w:rsidRDefault="000523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ללא הסכמת בעלי הדירות האחרים ובלבד שנתקיימו הוראות סעיף 145."</w:t>
                        </w:r>
                      </w:p>
                    </w:tc>
                    <w:tc>
                      <w:tcPr>
                        <w:tcW w:w="813" w:type="pct"/>
                      </w:tcPr>
                      <w:p w:rsidR="000523EE" w:rsidRPr="001B3027" w:rsidRDefault="000523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62</w:t>
                        </w:r>
                      </w:p>
                    </w:tc>
                  </w:tr>
                  <w:tr w:rsidR="000523EE" w:rsidRPr="001B3027">
                    <w:trPr>
                      <w:jc w:val="right"/>
                    </w:trPr>
                    <w:tc>
                      <w:tcPr>
                        <w:tcW w:w="4187" w:type="pct"/>
                        <w:gridSpan w:val="2"/>
                      </w:tcPr>
                      <w:p w:rsidR="000523EE" w:rsidRPr="001B3027" w:rsidRDefault="000523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70 לחוק העיקרי, הסימן "(א)" וסעיף קטן (ב) " יימחקו.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0523EE" w:rsidRPr="001B3027" w:rsidRDefault="000523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70</w:t>
                        </w:r>
                      </w:p>
                    </w:tc>
                  </w:tr>
                  <w:tr w:rsidR="000523EE" w:rsidRPr="001B3027">
                    <w:trPr>
                      <w:jc w:val="right"/>
                    </w:trPr>
                    <w:tc>
                      <w:tcPr>
                        <w:tcW w:w="4187" w:type="pct"/>
                        <w:gridSpan w:val="2"/>
                      </w:tcPr>
                      <w:p w:rsidR="000523EE" w:rsidRPr="001B3027" w:rsidRDefault="000523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72(א) לחוק העיקרי, אחרי "58" יבוא "59".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0523EE" w:rsidRPr="001B3027" w:rsidRDefault="000523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72</w:t>
                        </w:r>
                      </w:p>
                    </w:tc>
                  </w:tr>
                  <w:tr w:rsidR="000523EE" w:rsidRPr="001B3027">
                    <w:trPr>
                      <w:jc w:val="right"/>
                    </w:trPr>
                    <w:tc>
                      <w:tcPr>
                        <w:tcW w:w="4187" w:type="pct"/>
                        <w:gridSpan w:val="2"/>
                      </w:tcPr>
                      <w:p w:rsidR="000523EE" w:rsidRDefault="000523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75(א) לחוק העיקרי, אחרי "מדיני הראיות", פעמיים, יבוא "ומסדרי הדין הנוהגים</w:t>
                        </w:r>
                      </w:p>
                      <w:p w:rsidR="000523EE" w:rsidRPr="001B3027" w:rsidRDefault="000523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בבתי המשפט".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0523EE" w:rsidRPr="001B3027" w:rsidRDefault="000523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75</w:t>
                        </w:r>
                      </w:p>
                    </w:tc>
                  </w:tr>
                  <w:tr w:rsidR="000523EE" w:rsidRPr="001B3027">
                    <w:trPr>
                      <w:jc w:val="right"/>
                    </w:trPr>
                    <w:tc>
                      <w:tcPr>
                        <w:tcW w:w="4187" w:type="pct"/>
                        <w:gridSpan w:val="2"/>
                      </w:tcPr>
                      <w:p w:rsidR="000523EE" w:rsidRPr="001B3027" w:rsidRDefault="000523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77ב לחוק העיקרי, אחרי "58" יבוא "59".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0523EE" w:rsidRPr="001B3027" w:rsidRDefault="000523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77ב</w:t>
                        </w:r>
                      </w:p>
                    </w:tc>
                  </w:tr>
                  <w:tr w:rsidR="000523EE" w:rsidRPr="001B3027">
                    <w:trPr>
                      <w:jc w:val="right"/>
                    </w:trPr>
                    <w:tc>
                      <w:tcPr>
                        <w:tcW w:w="4187" w:type="pct"/>
                        <w:gridSpan w:val="2"/>
                      </w:tcPr>
                      <w:p w:rsidR="000523EE" w:rsidRDefault="000523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93 לחוק העיקרי, בסופו יבוא:</w:t>
                        </w:r>
                      </w:p>
                      <w:p w:rsidR="000523EE" w:rsidRPr="001B3027" w:rsidRDefault="000523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על אף האמור בסעיף 13 יכול שתהא זיקת הנאה לגבי חלק מסויים במקרקעין."</w:t>
                        </w:r>
                      </w:p>
                    </w:tc>
                    <w:tc>
                      <w:tcPr>
                        <w:tcW w:w="813" w:type="pct"/>
                      </w:tcPr>
                      <w:p w:rsidR="000523EE" w:rsidRPr="001B3027" w:rsidRDefault="000523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93</w:t>
                        </w:r>
                      </w:p>
                    </w:tc>
                  </w:tr>
                </w:tbl>
                <w:p w:rsidR="000523EE" w:rsidRDefault="000523E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762" o:spid="_x0000_s1028" type="#_x0000_t202" style="position:absolute;left:0;text-align:left;margin-left:136.6pt;margin-top:81.15pt;width:273.85pt;height:23.15pt;z-index:1;mso-position-horizontal-relative:page;mso-position-vertical-relative:page" stroked="f">
            <v:textbox style="mso-next-textbox:#_x0000_s40762" inset="0,0,0,0">
              <w:txbxContent>
                <w:p w:rsidR="000523EE" w:rsidRPr="001B3027" w:rsidRDefault="000523EE">
                  <w:pPr>
                    <w:pStyle w:val="OCRStyle1"/>
                    <w:ind w:left="25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המקרקעין (תיקון מס' 14), התשנ"ב-1992*</w:t>
                  </w:r>
                </w:p>
              </w:txbxContent>
            </v:textbox>
            <w10:wrap anchorx="page" anchory="page"/>
          </v:shape>
        </w:pict>
      </w:r>
    </w:p>
    <w:p w:rsidR="00D5703E" w:rsidRDefault="00D5703E">
      <w:pPr>
        <w:rPr>
          <w:rtl/>
        </w:rPr>
      </w:pPr>
      <w:r>
        <w:rPr>
          <w:rtl/>
        </w:rPr>
        <w:br w:type="page"/>
      </w:r>
    </w:p>
    <w:p w:rsidR="00D5703E" w:rsidRDefault="00000000">
      <w:pPr>
        <w:rPr>
          <w:rtl/>
        </w:rPr>
      </w:pPr>
      <w:r>
        <w:pict>
          <v:shape id="_x0000_s40763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0763" inset="0,0,0,0">
              <w:txbxContent>
                <w:p w:rsidR="000523EE" w:rsidRDefault="000523EE">
                  <w:r>
                    <w:rPr>
                      <w:rtl/>
                    </w:rPr>
                    <w:t>59                                          ספר החוקים 1380                   י"ח בשבט התשנ"ב 23.01.1992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64" o:spid="_x0000_s1030" type="#_x0000_t202" style="position:absolute;left:0;text-align:left;margin-left:384.85pt;margin-top:705.2pt;width:179pt;height:45.55pt;z-index:10;mso-position-horizontal-relative:page;mso-position-vertical-relative:page" stroked="f">
            <v:textbox style="mso-next-textbox:#_x0000_s40764" inset="0,0,0,0">
              <w:txbxContent>
                <w:p w:rsidR="000523EE" w:rsidRPr="00D5703E" w:rsidRDefault="000523EE">
                  <w:pPr>
                    <w:pStyle w:val="OCRStyle2"/>
                    <w:ind w:left="223"/>
                  </w:pPr>
                  <w:r>
                    <w:rPr>
                      <w:rtl/>
                    </w:rPr>
                    <w:t>2 ס"ח התשכ"א, עמ' 164 התש''ם, עמ' 136.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65" o:spid="_x0000_s1031" type="#_x0000_t202" style="position:absolute;left:0;text-align:left;margin-left:182.5pt;margin-top:644pt;width:75.85pt;height:31.1pt;z-index:9;mso-position-horizontal-relative:page;mso-position-vertical-relative:page" stroked="f">
            <v:textbox style="mso-next-textbox:#_x0000_s40765" inset="0,0,0,0">
              <w:txbxContent>
                <w:p w:rsidR="000523EE" w:rsidRDefault="000523EE">
                  <w:pPr>
                    <w:pStyle w:val="OCRStyle2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דן מרידוד</w:t>
                  </w:r>
                </w:p>
                <w:p w:rsidR="000523EE" w:rsidRDefault="000523EE">
                  <w:pPr>
                    <w:pStyle w:val="OCRStyle2"/>
                    <w:ind w:left="6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66" o:spid="_x0000_s1032" type="#_x0000_t202" style="position:absolute;left:0;text-align:left;margin-left:266.05pt;margin-top:669.95pt;width:94.65pt;height:35.25pt;z-index:8;mso-position-horizontal-relative:page;mso-position-vertical-relative:page" stroked="f">
            <v:textbox style="mso-next-textbox:#_x0000_s40766" inset="0,0,0,0">
              <w:txbxContent>
                <w:p w:rsidR="000523EE" w:rsidRDefault="000523EE">
                  <w:pPr>
                    <w:pStyle w:val="OCRStyle2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0523EE" w:rsidRDefault="000523EE">
                  <w:pPr>
                    <w:pStyle w:val="OCRStyle2"/>
                    <w:ind w:left="9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67" o:spid="_x0000_s1033" type="#_x0000_t202" style="position:absolute;left:0;text-align:left;margin-left:378.7pt;margin-top:641.45pt;width:76.65pt;height:35.25pt;z-index:7;mso-position-horizontal-relative:page;mso-position-vertical-relative:page" stroked="f">
            <v:textbox style="mso-next-textbox:#_x0000_s40767" inset="0,0,0,0">
              <w:txbxContent>
                <w:p w:rsidR="000523EE" w:rsidRDefault="000523EE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0523EE" w:rsidRDefault="000523EE">
                  <w:pPr>
                    <w:pStyle w:val="OCRStyle2"/>
                    <w:ind w:left="1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68" o:spid="_x0000_s1034" type="#_x0000_t202" style="position:absolute;left:0;text-align:left;margin-left:463.05pt;margin-top:670.75pt;width:92.25pt;height:33.45pt;z-index:6;mso-position-horizontal-relative:page;mso-position-vertical-relative:page" stroked="f">
            <v:textbox style="mso-next-textbox:#_x0000_s40768" inset="0,0,0,0">
              <w:txbxContent>
                <w:p w:rsidR="000523EE" w:rsidRDefault="000523EE">
                  <w:pPr>
                    <w:pStyle w:val="OCRStyle2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0523EE" w:rsidRDefault="000523EE">
                  <w:pPr>
                    <w:pStyle w:val="OCRStyle2"/>
                    <w:ind w:left="35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69" o:spid="_x0000_s1035" type="#_x0000_t202" style="position:absolute;left:0;text-align:left;margin-left:91.2pt;margin-top:71.6pt;width:470.85pt;height:566.5pt;z-index:5;mso-position-horizontal-relative:page;mso-position-vertical-relative:page" stroked="f">
            <v:textbox style="mso-next-textbox:#_x0000_s40769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12"/>
                    <w:gridCol w:w="5695"/>
                    <w:gridCol w:w="1355"/>
                  </w:tblGrid>
                  <w:tr w:rsidR="000523EE" w:rsidRPr="00D5703E">
                    <w:trPr>
                      <w:jc w:val="right"/>
                    </w:trPr>
                    <w:tc>
                      <w:tcPr>
                        <w:tcW w:w="883" w:type="pct"/>
                      </w:tcPr>
                      <w:p w:rsidR="000523EE" w:rsidRPr="00D5703E" w:rsidRDefault="000523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117</w:t>
                        </w:r>
                      </w:p>
                    </w:tc>
                    <w:tc>
                      <w:tcPr>
                        <w:tcW w:w="4117" w:type="pct"/>
                        <w:gridSpan w:val="2"/>
                      </w:tcPr>
                      <w:p w:rsidR="000523EE" w:rsidRDefault="000523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 בסעיף 117(א) לחוק העיקרי, במקום "ימנה מפקחים" יבוא "ימנה אנשים הכשירים להיות</w:t>
                        </w:r>
                      </w:p>
                      <w:p w:rsidR="000523EE" w:rsidRPr="00D5703E" w:rsidRDefault="000523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שופטי בית משפט שלום למפקחים".</w:t>
                        </w:r>
                      </w:p>
                    </w:tc>
                  </w:tr>
                  <w:tr w:rsidR="000523EE" w:rsidRPr="00D5703E">
                    <w:trPr>
                      <w:jc w:val="right"/>
                    </w:trPr>
                    <w:tc>
                      <w:tcPr>
                        <w:tcW w:w="883" w:type="pct"/>
                      </w:tcPr>
                      <w:p w:rsidR="000523EE" w:rsidRPr="00D5703E" w:rsidRDefault="000523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118</w:t>
                        </w:r>
                      </w:p>
                    </w:tc>
                    <w:tc>
                      <w:tcPr>
                        <w:tcW w:w="4117" w:type="pct"/>
                        <w:gridSpan w:val="2"/>
                      </w:tcPr>
                      <w:p w:rsidR="000523EE" w:rsidRPr="00D5703E" w:rsidRDefault="000523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118(א) לחוק העיקרי, כמקום "בית משפט שלום" יבוא "בית משפט מחוזי"</w:t>
                        </w:r>
                      </w:p>
                    </w:tc>
                  </w:tr>
                  <w:tr w:rsidR="000523EE" w:rsidRPr="00D5703E">
                    <w:trPr>
                      <w:jc w:val="right"/>
                    </w:trPr>
                    <w:tc>
                      <w:tcPr>
                        <w:tcW w:w="883" w:type="pct"/>
                      </w:tcPr>
                      <w:p w:rsidR="000523EE" w:rsidRPr="00D5703E" w:rsidRDefault="000523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142</w:t>
                        </w:r>
                      </w:p>
                    </w:tc>
                    <w:tc>
                      <w:tcPr>
                        <w:tcW w:w="4117" w:type="pct"/>
                        <w:gridSpan w:val="2"/>
                      </w:tcPr>
                      <w:p w:rsidR="000523EE" w:rsidRDefault="000523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142 לחוק העיקרי, אחרי סעיף קטן (ב) יבוא:</w:t>
                        </w:r>
                      </w:p>
                      <w:p w:rsidR="000523EE" w:rsidRDefault="000523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שני בתים או יותר שיש להם מיתקנים משותפים, ניתנים לרישום בפנקס כבית</w:t>
                        </w:r>
                      </w:p>
                      <w:p w:rsidR="000523EE" w:rsidRPr="00D5703E" w:rsidRDefault="000523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משותף."</w:t>
                        </w:r>
                      </w:p>
                    </w:tc>
                  </w:tr>
                  <w:tr w:rsidR="000523EE" w:rsidRPr="00D5703E">
                    <w:trPr>
                      <w:jc w:val="right"/>
                    </w:trPr>
                    <w:tc>
                      <w:tcPr>
                        <w:tcW w:w="883" w:type="pct"/>
                      </w:tcPr>
                      <w:p w:rsidR="000523EE" w:rsidRPr="00D5703E" w:rsidRDefault="000523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הוס0ת סעיף 157*</w:t>
                        </w:r>
                      </w:p>
                    </w:tc>
                    <w:tc>
                      <w:tcPr>
                        <w:tcW w:w="4117" w:type="pct"/>
                        <w:gridSpan w:val="2"/>
                      </w:tcPr>
                      <w:p w:rsidR="000523EE" w:rsidRPr="00D5703E" w:rsidRDefault="000523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אחרי סעיף 157 לחוק העיקרי יבוא;</w:t>
                        </w:r>
                      </w:p>
                    </w:tc>
                  </w:tr>
                  <w:tr w:rsidR="000523EE">
                    <w:trPr>
                      <w:jc w:val="right"/>
                    </w:trPr>
                    <w:tc>
                      <w:tcPr>
                        <w:tcW w:w="883" w:type="pct"/>
                      </w:tcPr>
                      <w:p w:rsidR="000523EE" w:rsidRDefault="000523E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6" w:type="pct"/>
                      </w:tcPr>
                      <w:p w:rsidR="000523EE" w:rsidRDefault="000523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א1: מחילת עיקולים מהמרשמ</w:t>
                        </w:r>
                      </w:p>
                    </w:tc>
                    <w:tc>
                      <w:tcPr>
                        <w:tcW w:w="791" w:type="pct"/>
                      </w:tcPr>
                      <w:p w:rsidR="000523EE" w:rsidRDefault="000523E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0523EE" w:rsidRPr="00D5703E">
                    <w:trPr>
                      <w:jc w:val="right"/>
                    </w:trPr>
                    <w:tc>
                      <w:tcPr>
                        <w:tcW w:w="883" w:type="pct"/>
                      </w:tcPr>
                      <w:p w:rsidR="000523EE" w:rsidRDefault="000523E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6" w:type="pct"/>
                      </w:tcPr>
                      <w:p w:rsidR="000523EE" w:rsidRDefault="000523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157 א. (א) עברו עשר שנים מיום שנרשם עיקול, רשאי הרשם למחקו אלא</w:t>
                        </w:r>
                      </w:p>
                      <w:p w:rsidR="000523EE" w:rsidRDefault="000523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כן הוגש לרישום צו להארכת תקפו.</w:t>
                        </w:r>
                      </w:p>
                      <w:p w:rsidR="000523EE" w:rsidRDefault="000523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החליט הרשם למחוק עיקול בתום התקופה כאמור בסעיף קטן (א),</w:t>
                        </w:r>
                      </w:p>
                      <w:p w:rsidR="000523EE" w:rsidRDefault="000523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ישלח הודעה, לפחות ארבעים וחמישה ימים לפני המחיקה, למי שהעיקול נרשם</w:t>
                        </w:r>
                      </w:p>
                      <w:p w:rsidR="000523EE" w:rsidRDefault="000523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לזכותו, ככל שמענו ידוע, או יפרסם על כך הודעה בשני עתונים יומיים."</w:t>
                        </w:r>
                      </w:p>
                    </w:tc>
                    <w:tc>
                      <w:tcPr>
                        <w:tcW w:w="791" w:type="pct"/>
                      </w:tcPr>
                      <w:p w:rsidR="000523EE" w:rsidRDefault="000523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"הגבלת משך תקפו</w:t>
                        </w:r>
                      </w:p>
                      <w:p w:rsidR="000523EE" w:rsidRPr="00D5703E" w:rsidRDefault="000523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עיקול ומחיקתו</w:t>
                        </w:r>
                      </w:p>
                    </w:tc>
                  </w:tr>
                  <w:tr w:rsidR="000523EE" w:rsidRPr="00D5703E">
                    <w:trPr>
                      <w:jc w:val="right"/>
                    </w:trPr>
                    <w:tc>
                      <w:tcPr>
                        <w:tcW w:w="883" w:type="pct"/>
                        <w:vMerge w:val="restart"/>
                      </w:tcPr>
                      <w:p w:rsidR="000523EE" w:rsidRDefault="000523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16</w:t>
                        </w:r>
                      </w:p>
                      <w:p w:rsidR="000523EE" w:rsidRPr="00D5703E" w:rsidRDefault="000523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לתוספת</w:t>
                        </w:r>
                      </w:p>
                    </w:tc>
                    <w:tc>
                      <w:tcPr>
                        <w:tcW w:w="4117" w:type="pct"/>
                        <w:gridSpan w:val="2"/>
                      </w:tcPr>
                      <w:p w:rsidR="000523EE" w:rsidRPr="00D5703E" w:rsidRDefault="000523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בתוספת לחוק העיקרי, במקום סעיף 16 יבוא:</w:t>
                        </w:r>
                      </w:p>
                    </w:tc>
                  </w:tr>
                  <w:tr w:rsidR="000523EE" w:rsidRPr="00D5703E">
                    <w:trPr>
                      <w:jc w:val="right"/>
                    </w:trPr>
                    <w:tc>
                      <w:tcPr>
                        <w:tcW w:w="883" w:type="pct"/>
                        <w:vMerge/>
                      </w:tcPr>
                      <w:p w:rsidR="000523EE" w:rsidRDefault="000523E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6" w:type="pct"/>
                      </w:tcPr>
                      <w:p w:rsidR="000523EE" w:rsidRDefault="000523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הגזבר יקבל חשבון לכל הוצאה, ימסור קבלה לכל הכנסה וינהל</w:t>
                        </w:r>
                      </w:p>
                      <w:p w:rsidR="000523EE" w:rsidRDefault="000523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 הכנסות והוצאות: הגזבר יביא לאישור האספה הכללית הרגילה את</w:t>
                        </w:r>
                      </w:p>
                      <w:p w:rsidR="000523EE" w:rsidRDefault="000523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הפנקס וכן יביא עמו את החשבונות והקבלות שקיבל, העתקי הקבלות שמסר</w:t>
                        </w:r>
                      </w:p>
                      <w:p w:rsidR="000523EE" w:rsidRDefault="000523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והמסמכים הנוגעים להם.</w:t>
                        </w:r>
                      </w:p>
                      <w:p w:rsidR="000523EE" w:rsidRDefault="000523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הגזבר יערוך דין וחשבון כספי אחת לששה חדשים: הדין וחשבון</w:t>
                        </w:r>
                      </w:p>
                      <w:p w:rsidR="000523EE" w:rsidRDefault="000523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יכלול גם את פירוט ההשקעות של ההכנסות שהצטברו.</w:t>
                        </w:r>
                      </w:p>
                      <w:p w:rsidR="000523EE" w:rsidRDefault="000523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בעל דירה רשאי בכל עת סבירה לעיין בפנקס ההכנסות וההוצאות,</w:t>
                        </w:r>
                      </w:p>
                      <w:p w:rsidR="000523EE" w:rsidRDefault="000523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בחשבונות, בקבלות ובמסמכים הנוגעים להם ובדין וחשבון הכספי.</w:t>
                        </w:r>
                      </w:p>
                      <w:p w:rsidR="000523EE" w:rsidRDefault="000523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הגזבר יפקיד את ההכנסות בחשבון בנק על שם הבית המשותף.</w:t>
                        </w:r>
                      </w:p>
                      <w:p w:rsidR="000523EE" w:rsidRDefault="000523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שנת הכספים של הבית המשותף תתחיל ביום 1 בינואר, ותסתיים</w:t>
                        </w:r>
                      </w:p>
                      <w:p w:rsidR="000523EE" w:rsidRDefault="000523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31 בדצמבר של אותה שנה: שנת הכספים הראשונה תתחיל ביום רישומו</w:t>
                        </w:r>
                      </w:p>
                      <w:p w:rsidR="000523EE" w:rsidRDefault="000523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הבית בפנקס הבתים המשותפים ותסתיים ביום 31 בדצמבר הראשון</w:t>
                        </w:r>
                      </w:p>
                      <w:p w:rsidR="000523EE" w:rsidRDefault="000523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יום הרישום."</w:t>
                        </w:r>
                      </w:p>
                    </w:tc>
                    <w:tc>
                      <w:tcPr>
                        <w:tcW w:w="791" w:type="pct"/>
                      </w:tcPr>
                      <w:p w:rsidR="000523EE" w:rsidRPr="00D5703E" w:rsidRDefault="000523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"חשבונות</w:t>
                        </w:r>
                      </w:p>
                    </w:tc>
                  </w:tr>
                  <w:tr w:rsidR="000523EE" w:rsidRPr="00D5703E">
                    <w:trPr>
                      <w:jc w:val="right"/>
                    </w:trPr>
                    <w:tc>
                      <w:tcPr>
                        <w:tcW w:w="883" w:type="pct"/>
                      </w:tcPr>
                      <w:p w:rsidR="000523EE" w:rsidRDefault="000523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523EE" w:rsidRDefault="000523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הבולים על</w:t>
                        </w:r>
                      </w:p>
                      <w:p w:rsidR="000523EE" w:rsidRPr="00D5703E" w:rsidRDefault="000523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מסמכים</w:t>
                        </w:r>
                      </w:p>
                    </w:tc>
                    <w:tc>
                      <w:tcPr>
                        <w:tcW w:w="4117" w:type="pct"/>
                        <w:gridSpan w:val="2"/>
                      </w:tcPr>
                      <w:p w:rsidR="000523EE" w:rsidRDefault="000523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בחוק מס הבולים על מסמכים, התשכ"א-21961, בתוספת ב', אחרי סעיף 21(יג&gt; יבוא:</w:t>
                        </w:r>
                      </w:p>
                      <w:p w:rsidR="000523EE" w:rsidRPr="00D5703E" w:rsidRDefault="000523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"(יד) הרשאה לבא-כוח להשתתף באסיפה כללית של בעלי דירות בבית משותף."</w:t>
                        </w:r>
                      </w:p>
                    </w:tc>
                  </w:tr>
                  <w:tr w:rsidR="000523EE" w:rsidRPr="00D5703E">
                    <w:trPr>
                      <w:jc w:val="right"/>
                    </w:trPr>
                    <w:tc>
                      <w:tcPr>
                        <w:tcW w:w="883" w:type="pct"/>
                      </w:tcPr>
                      <w:p w:rsidR="000523EE" w:rsidRPr="00D5703E" w:rsidRDefault="000523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17" w:type="pct"/>
                        <w:gridSpan w:val="2"/>
                      </w:tcPr>
                      <w:p w:rsidR="000523EE" w:rsidRPr="00D5703E" w:rsidRDefault="000523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תחילתו של סעיף 12 בתום שלושה חדשים מיום פרסומו של חוק זה.</w:t>
                        </w:r>
                      </w:p>
                    </w:tc>
                  </w:tr>
                </w:tbl>
                <w:p w:rsidR="000523EE" w:rsidRDefault="000523E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0523EE" w:rsidRDefault="000523EE">
      <w:pPr>
        <w:rPr>
          <w:rtl/>
        </w:rPr>
      </w:pPr>
      <w:r>
        <w:rPr>
          <w:rtl/>
        </w:rPr>
        <w:br w:type="page"/>
      </w:r>
    </w:p>
    <w:p w:rsidR="000523EE" w:rsidRDefault="00000000">
      <w:pPr>
        <w:rPr>
          <w:rtl/>
        </w:rPr>
      </w:pPr>
      <w:r>
        <w:pict>
          <v:shape id="_x0000_s40770" o:spid="_x0000_s1036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0770" inset="0,0,0,0">
              <w:txbxContent>
                <w:p w:rsidR="000523EE" w:rsidRDefault="000523EE">
                  <w:r>
                    <w:rPr>
                      <w:rtl/>
                    </w:rPr>
                    <w:t>60                                          ספר החוקים 1380                   י"ח בשבט התשנ"ב 23.01.1992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71" o:spid="_x0000_s1037" type="#_x0000_t202" style="position:absolute;left:0;text-align:left;margin-left:76.85pt;margin-top:726.65pt;width:226.3pt;height:29.3pt;z-index:12;mso-position-horizontal-relative:page;mso-position-vertical-relative:page" stroked="f">
            <v:textbox style="mso-next-textbox:#_x0000_s40771" inset="0,0,0,0">
              <w:txbxContent>
                <w:p w:rsidR="000523EE" w:rsidRDefault="000523E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B302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302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59F3257-7725-4F1D-87FC-F93FA5586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B302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5703E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0523E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2008-04-07T08:46:00Z</dcterms:created>
  <dcterms:modified xsi:type="dcterms:W3CDTF">2008-04-07T08:46:00Z</dcterms:modified>
</cp:coreProperties>
</file>