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10FA6" w:rsidRDefault="00410FA6">
      <w:pPr>
        <w:rPr>
          <w:rtl/>
        </w:rPr>
      </w:pPr>
    </w:p>
    <w:p w:rsidR="00410FA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89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895" inset="0,0,0,0">
              <w:txbxContent>
                <w:p w:rsidR="005F0D90" w:rsidRDefault="005F0D90">
                  <w:r>
                    <w:rPr>
                      <w:rtl/>
                    </w:rPr>
                    <w:t>143                                         ספר החוקים 1390                י"ט באדר ב' התשנ"ב 24.03.1992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96" o:spid="_x0000_s1026" type="#_x0000_t202" style="position:absolute;left:0;text-align:left;margin-left:195.15pt;margin-top:642.65pt;width:377pt;height:103.15pt;z-index:3;mso-position-horizontal-relative:page;mso-position-vertical-relative:page" stroked="f">
            <v:textbox style="mso-next-textbox:#_x0000_s40896" inset="0,0,0,0">
              <w:txbxContent>
                <w:p w:rsidR="005F0D90" w:rsidRDefault="005F0D90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ביים -"א באדר ב' התשנ"ב (16 במרס 1992): הגעת החוק ודברי הסבר פורסמו בהצעות חוק 2109, מיום</w:t>
                  </w:r>
                </w:p>
                <w:p w:rsidR="005F0D90" w:rsidRDefault="005F0D90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ה' באדר א' התשנ"ב (9 בפברואר 1992), עמ' 192.</w:t>
                  </w:r>
                </w:p>
                <w:p w:rsidR="005F0D90" w:rsidRDefault="005F0D90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1 ס"ח התשמ''ד, עמ' 195.</w:t>
                  </w:r>
                </w:p>
                <w:p w:rsidR="005F0D90" w:rsidRDefault="005F0D90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ס"ח התשל''ז. על' .226</w:t>
                  </w:r>
                </w:p>
                <w:p w:rsidR="005F0D90" w:rsidRDefault="005F0D90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דיני מדינת ישראל, ניסח חדש 27. על 526</w:t>
                  </w:r>
                </w:p>
                <w:p w:rsidR="005F0D90" w:rsidRPr="00410FA6" w:rsidRDefault="005F0D90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4 ס"ח התשכ"ט עלי 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97" o:spid="_x0000_s1027" type="#_x0000_t202" style="position:absolute;left:0;text-align:left;margin-left:117.75pt;margin-top:98.55pt;width:454.4pt;height:530.25pt;z-index:2;mso-position-horizontal-relative:page;mso-position-vertical-relative:page" stroked="f">
            <v:textbox style="mso-next-textbox:#_x0000_s4089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7"/>
                    <w:gridCol w:w="6915"/>
                  </w:tblGrid>
                  <w:tr w:rsidR="005F0D90" w:rsidRPr="00410FA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5F0D90" w:rsidRPr="00410FA6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40 לחוק בתי המשפט [נוסח משולב], התשמ"ד-1984 1(להלן - החוק העיקרי),</w:t>
                        </w:r>
                      </w:p>
                      <w:p w:rsidR="005F0D90" w:rsidRPr="00410FA6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 בסופה יבוא: "ואם הענין אינו נתון בסמכותו של בית משפט שלום".</w:t>
                        </w:r>
                      </w:p>
                    </w:tc>
                  </w:tr>
                  <w:tr w:rsidR="005F0D90" w:rsidRPr="00410FA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5F0D90" w:rsidRPr="00410FA6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51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כסעיף 51(א) לחוק העיקרי -</w:t>
                        </w:r>
                      </w:p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(1) יבוא:</w:t>
                        </w:r>
                      </w:p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(א) עבירות שעונשן קנס בלבד או מאסר לתקופה שאינה עולה על שבע</w:t>
                        </w:r>
                      </w:p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שנים: למעט העכירות המנויות בחלק א' של התוספת השניה, שעונשן מאסר</w:t>
                        </w:r>
                      </w:p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 חמש שנים או יותר, אם החליט פרקליט מחוז להעמיד עליהן אדם</w:t>
                        </w:r>
                      </w:p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 לפני בית משפט מחוזי.</w:t>
                        </w:r>
                      </w:p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עבירות המנויות בחלק ב' לתוספת השניה, שעונשן מאסר לתקופה</w:t>
                        </w:r>
                      </w:p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שבע שנים, אם החליט פרקליט מחוז להעמיד עליהן אדם לדין לפני</w:t>
                        </w:r>
                      </w:p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שלום, ובלבד שלא יוטל עונש מאסר לתקופה העולה על שבע</w:t>
                        </w:r>
                      </w:p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שנים."</w:t>
                        </w:r>
                      </w:p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(3) יבוא:</w:t>
                        </w:r>
                      </w:p>
                      <w:p w:rsidR="005F0D90" w:rsidRPr="00410FA6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"(3א) תביעות למזונות."</w:t>
                        </w:r>
                      </w:p>
                    </w:tc>
                  </w:tr>
                  <w:tr w:rsidR="005F0D90" w:rsidRPr="00410FA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5F0D90" w:rsidRPr="00410FA6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104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5F0D90" w:rsidRPr="00410FA6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104 לחוק העיקרי, במקום "עד 79" יבוא "עד 79ג".</w:t>
                        </w:r>
                      </w:p>
                    </w:tc>
                  </w:tr>
                  <w:tr w:rsidR="005F0D90" w:rsidRPr="00410FA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התוססת</w:t>
                        </w:r>
                      </w:p>
                      <w:p w:rsidR="005F0D90" w:rsidRPr="00410FA6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5F0D90" w:rsidRPr="00410FA6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בתוספת הראשונה לחוק העיקרי, אחרי חלק א' תבוא הכותרת "חלק ב'".</w:t>
                        </w:r>
                      </w:p>
                    </w:tc>
                  </w:tr>
                  <w:tr w:rsidR="005F0D90" w:rsidRPr="00410FA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התוספת</w:t>
                        </w:r>
                      </w:p>
                      <w:p w:rsidR="005F0D90" w:rsidRPr="00410FA6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5F0D90" w:rsidRPr="00410FA6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כמקום התוספת השניה לחוק העיקרי יבוא:</w:t>
                        </w:r>
                      </w:p>
                    </w:tc>
                  </w:tr>
                  <w:tr w:rsidR="005F0D90" w:rsidRPr="00410FA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5" w:type="pct"/>
                      </w:tcPr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שניה</w:t>
                        </w:r>
                      </w:p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51)</w:t>
                        </w:r>
                      </w:p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אי</w:t>
                        </w:r>
                      </w:p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לפי חוק העונשין, התשל"ז-21977, הקבועות בסימן ה' לפרק ט' ובסעיפים 392,</w:t>
                        </w:r>
                      </w:p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393, 415, 423 ו-424.</w:t>
                        </w:r>
                      </w:p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ב'</w:t>
                        </w:r>
                      </w:p>
                      <w:p w:rsidR="005F0D90" w:rsidRPr="00410FA6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לפי פקודת הסמים המסוכנים [נוסח חדש], התשל"ג-31973."</w:t>
                        </w:r>
                      </w:p>
                    </w:tc>
                  </w:tr>
                  <w:tr w:rsidR="005F0D90" w:rsidRPr="00410FA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F0D90" w:rsidRPr="00410FA6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לעבודה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5F0D90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בית הדין לעבודה, התשכ"ט-41969, בסעיף 10(3), במקום "לענין סעיף 2(2)(ב)</w:t>
                        </w:r>
                      </w:p>
                      <w:p w:rsidR="005F0D90" w:rsidRPr="00410FA6" w:rsidRDefault="005F0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השופטים" יבוא "לענין סעיף 2(2)(ב) לחוק בתי משפט".</w:t>
                        </w:r>
                      </w:p>
                    </w:tc>
                  </w:tr>
                </w:tbl>
                <w:p w:rsidR="005F0D90" w:rsidRDefault="005F0D9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898" o:spid="_x0000_s1028" type="#_x0000_t202" style="position:absolute;left:0;text-align:left;margin-left:250.2pt;margin-top:71.8pt;width:266.1pt;height:26.55pt;z-index:1;mso-position-horizontal-relative:page;mso-position-vertical-relative:page" stroked="f">
            <v:textbox style="mso-next-textbox:#_x0000_s40898" inset="0,0,0,0">
              <w:txbxContent>
                <w:p w:rsidR="005F0D90" w:rsidRPr="00410FA6" w:rsidRDefault="005F0D90">
                  <w:pPr>
                    <w:pStyle w:val="OCRStyle1"/>
                    <w:ind w:left="1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בתי המשפט (תיקון מס' 16), התשנ"ב-1992*</w:t>
                  </w:r>
                </w:p>
              </w:txbxContent>
            </v:textbox>
            <w10:wrap anchorx="page" anchory="page"/>
          </v:shape>
        </w:pict>
      </w:r>
    </w:p>
    <w:p w:rsidR="005F0D90" w:rsidRDefault="005F0D90">
      <w:pPr>
        <w:rPr>
          <w:rtl/>
        </w:rPr>
      </w:pPr>
      <w:r>
        <w:rPr>
          <w:rtl/>
        </w:rPr>
        <w:br w:type="page"/>
      </w:r>
    </w:p>
    <w:p w:rsidR="005F0D90" w:rsidRDefault="00000000">
      <w:pPr>
        <w:rPr>
          <w:rtl/>
        </w:rPr>
      </w:pPr>
      <w:r>
        <w:pict>
          <v:shape id="_x0000_s40899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0899" inset="0,0,0,0">
              <w:txbxContent>
                <w:p w:rsidR="005F0D90" w:rsidRDefault="005F0D90">
                  <w:r>
                    <w:rPr>
                      <w:rtl/>
                    </w:rPr>
                    <w:t>144                                         ספר החוקים 1390                י"ט באדר ב' התשנ"ב 24.03.1992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00" o:spid="_x0000_s1030" type="#_x0000_t202" style="position:absolute;left:0;text-align:left;margin-left:365.7pt;margin-top:278pt;width:100.8pt;height:23.15pt;z-index:10;mso-position-horizontal-relative:page;mso-position-vertical-relative:page" stroked="f">
            <v:textbox style="mso-next-textbox:#_x0000_s40900" inset="0,0,0,0">
              <w:txbxContent>
                <w:p w:rsidR="005F0D90" w:rsidRPr="005F0D90" w:rsidRDefault="005F0D90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5 ס"ח התשנ''ב, עמ' 68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01" o:spid="_x0000_s1031" type="#_x0000_t202" style="position:absolute;left:0;text-align:left;margin-left:92.85pt;margin-top:198.8pt;width:71.5pt;height:30.9pt;z-index:9;mso-position-horizontal-relative:page;mso-position-vertical-relative:page" stroked="f">
            <v:textbox style="mso-next-textbox:#_x0000_s40901" inset="0,0,0,0">
              <w:txbxContent>
                <w:p w:rsidR="005F0D90" w:rsidRDefault="005F0D90">
                  <w:pPr>
                    <w:pStyle w:val="OCRStyle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5F0D90" w:rsidRDefault="005F0D90">
                  <w:pPr>
                    <w:pStyle w:val="OCRStyle2"/>
                    <w:ind w:left="7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02" o:spid="_x0000_s1032" type="#_x0000_t202" style="position:absolute;left:0;text-align:left;margin-left:184.9pt;margin-top:225.35pt;width:80.2pt;height:33.65pt;z-index:8;mso-position-horizontal-relative:page;mso-position-vertical-relative:page" stroked="f">
            <v:textbox style="mso-next-textbox:#_x0000_s40902" inset="0,0,0,0">
              <w:txbxContent>
                <w:p w:rsidR="005F0D90" w:rsidRDefault="005F0D90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5F0D90" w:rsidRDefault="005F0D90">
                  <w:pPr>
                    <w:pStyle w:val="OCRStyle2"/>
                    <w:ind w:left="6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03" o:spid="_x0000_s1033" type="#_x0000_t202" style="position:absolute;left:0;text-align:left;margin-left:290.05pt;margin-top:197.85pt;width:70.5pt;height:31.9pt;z-index:7;mso-position-horizontal-relative:page;mso-position-vertical-relative:page" stroked="f">
            <v:textbox style="mso-next-textbox:#_x0000_s40903" inset="0,0,0,0">
              <w:txbxContent>
                <w:p w:rsidR="005F0D90" w:rsidRDefault="005F0D90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F0D90" w:rsidRDefault="005F0D90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04" o:spid="_x0000_s1034" type="#_x0000_t202" style="position:absolute;left:0;text-align:left;margin-left:371.85pt;margin-top:223.75pt;width:84.35pt;height:37.05pt;z-index:6;mso-position-horizontal-relative:page;mso-position-vertical-relative:page" stroked="f">
            <v:textbox style="mso-next-textbox:#_x0000_s40904" inset="0,0,0,0">
              <w:txbxContent>
                <w:p w:rsidR="005F0D90" w:rsidRDefault="005F0D90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F0D90" w:rsidRDefault="005F0D90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05" o:spid="_x0000_s1035" type="#_x0000_t202" style="position:absolute;left:0;text-align:left;margin-left:79.2pt;margin-top:80.8pt;width:466.5pt;height:115.45pt;z-index:5;mso-position-horizontal-relative:page;mso-position-vertical-relative:page" stroked="f">
            <v:textbox style="mso-next-textbox:#_x0000_s4090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283"/>
                  </w:tblGrid>
                  <w:tr w:rsidR="005F0D90" w:rsidRPr="005F0D90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5F0D90" w:rsidRDefault="005F0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תחילתו של חוק זה ביים תחילתי של חוק כתי המשפט (תיקון מס *1),</w:t>
                        </w:r>
                      </w:p>
                      <w:p w:rsidR="005F0D90" w:rsidRDefault="005F0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התשנ"ב-1992 5, והוראות סעיף 22 לאותו חוק יחולו לענין זה.</w:t>
                        </w:r>
                      </w:p>
                      <w:p w:rsidR="005F0D90" w:rsidRDefault="005F0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תחילתן של הוראות פסקה (2) לסעיף 2 של חוק זה, במועד שיקבע שר המשפטים</w:t>
                        </w:r>
                      </w:p>
                      <w:p w:rsidR="005F0D90" w:rsidRDefault="005F0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 בהסכמת נשיא בית המשפט העליון: ורשאי שר המשפטים בהסכמה כאמור לקבוע מועדים</w:t>
                        </w:r>
                      </w:p>
                      <w:p w:rsidR="005F0D90" w:rsidRDefault="005F0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שינים לסוגים שונים של תביעות למזונות</w:t>
                        </w:r>
                      </w:p>
                    </w:tc>
                    <w:tc>
                      <w:tcPr>
                        <w:tcW w:w="756" w:type="pct"/>
                      </w:tcPr>
                      <w:p w:rsidR="005F0D90" w:rsidRDefault="005F0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תחולה</w:t>
                        </w:r>
                      </w:p>
                      <w:p w:rsidR="005F0D90" w:rsidRPr="005F0D90" w:rsidRDefault="005F0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מעבר</w:t>
                        </w:r>
                      </w:p>
                    </w:tc>
                  </w:tr>
                  <w:tr w:rsidR="005F0D90" w:rsidRPr="005F0D90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5F0D90" w:rsidRPr="005F0D90" w:rsidRDefault="005F0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חוק זה יפורסם תוך 30 ימים מיום קבלתו.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5F0D90" w:rsidRPr="005F0D90" w:rsidRDefault="005F0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5F0D90" w:rsidRDefault="005F0D9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10FA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039B21B-FC5C-491E-A906-9E810A4A7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10FA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F0D9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2008-04-07T13:02:00Z</dcterms:created>
  <dcterms:modified xsi:type="dcterms:W3CDTF">2008-04-07T13:03:00Z</dcterms:modified>
</cp:coreProperties>
</file>